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B941" w14:textId="77777777" w:rsidR="00937374" w:rsidRDefault="00937374" w:rsidP="005C7537">
      <w:pPr>
        <w:spacing w:after="0"/>
        <w:jc w:val="center"/>
        <w:rPr>
          <w:rFonts w:ascii="Times New Roman" w:hAnsi="Times New Roman" w:cs="Times New Roman"/>
        </w:rPr>
      </w:pPr>
    </w:p>
    <w:p w14:paraId="71E1A9D5" w14:textId="77777777" w:rsidR="00937374" w:rsidRPr="00D72FAA" w:rsidRDefault="00937374" w:rsidP="00937374">
      <w:pPr>
        <w:spacing w:after="0"/>
        <w:rPr>
          <w:rFonts w:ascii="Times New Roman" w:hAnsi="Times New Roman" w:cs="Times New Roman"/>
          <w:b/>
        </w:rPr>
      </w:pPr>
      <w:r w:rsidRPr="00D72FAA">
        <w:rPr>
          <w:rFonts w:ascii="Times New Roman" w:hAnsi="Times New Roman" w:cs="Times New Roman"/>
          <w:b/>
        </w:rPr>
        <w:t>UMJETNIČKA ŠKOLA FORTUNAT PINTARIĆ</w:t>
      </w:r>
    </w:p>
    <w:p w14:paraId="793D4B8F" w14:textId="77777777" w:rsidR="00937374" w:rsidRPr="00D72FAA" w:rsidRDefault="00937374" w:rsidP="00937374">
      <w:pPr>
        <w:spacing w:after="0"/>
        <w:rPr>
          <w:rFonts w:ascii="Times New Roman" w:hAnsi="Times New Roman" w:cs="Times New Roman"/>
          <w:b/>
        </w:rPr>
      </w:pPr>
      <w:r w:rsidRPr="00D72FAA">
        <w:rPr>
          <w:rFonts w:ascii="Times New Roman" w:hAnsi="Times New Roman" w:cs="Times New Roman"/>
          <w:b/>
        </w:rPr>
        <w:t>Svilarska 12, Koprivnica</w:t>
      </w:r>
    </w:p>
    <w:p w14:paraId="3F889E77" w14:textId="67F147B5" w:rsidR="00A44A90" w:rsidRPr="00592213" w:rsidRDefault="00A44A90" w:rsidP="00937374">
      <w:pPr>
        <w:spacing w:after="0"/>
        <w:rPr>
          <w:rFonts w:ascii="Times New Roman" w:hAnsi="Times New Roman" w:cs="Times New Roman"/>
        </w:rPr>
      </w:pPr>
      <w:r w:rsidRPr="00592213">
        <w:rPr>
          <w:rFonts w:ascii="Times New Roman" w:hAnsi="Times New Roman" w:cs="Times New Roman"/>
        </w:rPr>
        <w:t>KLASA:</w:t>
      </w:r>
      <w:r w:rsidR="007249F6" w:rsidRPr="00592213">
        <w:rPr>
          <w:rFonts w:ascii="Times New Roman" w:hAnsi="Times New Roman" w:cs="Times New Roman"/>
        </w:rPr>
        <w:t>400-02/2</w:t>
      </w:r>
      <w:r w:rsidR="00FA75C8" w:rsidRPr="00592213">
        <w:rPr>
          <w:rFonts w:ascii="Times New Roman" w:hAnsi="Times New Roman" w:cs="Times New Roman"/>
        </w:rPr>
        <w:t>4</w:t>
      </w:r>
      <w:r w:rsidR="00D72FAA" w:rsidRPr="00592213">
        <w:rPr>
          <w:rFonts w:ascii="Times New Roman" w:hAnsi="Times New Roman" w:cs="Times New Roman"/>
        </w:rPr>
        <w:t>-01/</w:t>
      </w:r>
      <w:r w:rsidR="00FA75C8" w:rsidRPr="00592213">
        <w:rPr>
          <w:rFonts w:ascii="Times New Roman" w:hAnsi="Times New Roman" w:cs="Times New Roman"/>
        </w:rPr>
        <w:t>1</w:t>
      </w:r>
    </w:p>
    <w:p w14:paraId="77341C42" w14:textId="443C39BC" w:rsidR="00A44A90" w:rsidRPr="00592213" w:rsidRDefault="00A44A90" w:rsidP="00937374">
      <w:pPr>
        <w:spacing w:after="0"/>
        <w:rPr>
          <w:rFonts w:ascii="Times New Roman" w:hAnsi="Times New Roman" w:cs="Times New Roman"/>
        </w:rPr>
      </w:pPr>
      <w:r w:rsidRPr="00592213">
        <w:rPr>
          <w:rFonts w:ascii="Times New Roman" w:hAnsi="Times New Roman" w:cs="Times New Roman"/>
        </w:rPr>
        <w:t>URBROJ:</w:t>
      </w:r>
      <w:r w:rsidR="007249F6" w:rsidRPr="00592213">
        <w:rPr>
          <w:rFonts w:ascii="Times New Roman" w:hAnsi="Times New Roman" w:cs="Times New Roman"/>
        </w:rPr>
        <w:t>2137</w:t>
      </w:r>
      <w:r w:rsidR="00D3716C" w:rsidRPr="00592213">
        <w:rPr>
          <w:rFonts w:ascii="Times New Roman" w:hAnsi="Times New Roman" w:cs="Times New Roman"/>
        </w:rPr>
        <w:t>-</w:t>
      </w:r>
      <w:r w:rsidR="007249F6" w:rsidRPr="00592213">
        <w:rPr>
          <w:rFonts w:ascii="Times New Roman" w:hAnsi="Times New Roman" w:cs="Times New Roman"/>
        </w:rPr>
        <w:t>83-2</w:t>
      </w:r>
      <w:r w:rsidR="00FA75C8" w:rsidRPr="00592213">
        <w:rPr>
          <w:rFonts w:ascii="Times New Roman" w:hAnsi="Times New Roman" w:cs="Times New Roman"/>
        </w:rPr>
        <w:t>4</w:t>
      </w:r>
      <w:r w:rsidR="008A73ED" w:rsidRPr="00592213">
        <w:rPr>
          <w:rFonts w:ascii="Times New Roman" w:hAnsi="Times New Roman" w:cs="Times New Roman"/>
        </w:rPr>
        <w:t>-01</w:t>
      </w:r>
      <w:r w:rsidR="00FA75C8" w:rsidRPr="00592213">
        <w:rPr>
          <w:rFonts w:ascii="Times New Roman" w:hAnsi="Times New Roman" w:cs="Times New Roman"/>
        </w:rPr>
        <w:t>-</w:t>
      </w:r>
      <w:r w:rsidR="000B51EC" w:rsidRPr="009C4030">
        <w:rPr>
          <w:rFonts w:ascii="Times New Roman" w:hAnsi="Times New Roman" w:cs="Times New Roman"/>
        </w:rPr>
        <w:t>6</w:t>
      </w:r>
    </w:p>
    <w:p w14:paraId="252D18CC" w14:textId="77777777" w:rsidR="00937374" w:rsidRPr="00B013F0" w:rsidRDefault="00937374" w:rsidP="00A44A90">
      <w:pPr>
        <w:spacing w:after="0"/>
        <w:rPr>
          <w:rFonts w:ascii="Times New Roman" w:hAnsi="Times New Roman" w:cs="Times New Roman"/>
          <w:color w:val="FF0000"/>
        </w:rPr>
      </w:pPr>
    </w:p>
    <w:p w14:paraId="4E1D17A9" w14:textId="557FC686" w:rsidR="005C7537" w:rsidRPr="00D72FAA" w:rsidRDefault="00BC5F97" w:rsidP="00360A2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OBRAZLOŽENJE</w:t>
      </w:r>
      <w:r w:rsidR="00694FAF">
        <w:rPr>
          <w:rFonts w:ascii="Times New Roman" w:hAnsi="Times New Roman" w:cs="Times New Roman"/>
          <w:b/>
        </w:rPr>
        <w:t xml:space="preserve"> PRIJEDLOGA</w:t>
      </w:r>
      <w:r w:rsidR="000A3A7E" w:rsidRPr="00D72FAA">
        <w:rPr>
          <w:rFonts w:ascii="Times New Roman" w:hAnsi="Times New Roman" w:cs="Times New Roman"/>
          <w:b/>
        </w:rPr>
        <w:t xml:space="preserve"> </w:t>
      </w:r>
      <w:r w:rsidR="00922D0C">
        <w:rPr>
          <w:rFonts w:ascii="Times New Roman" w:hAnsi="Times New Roman" w:cs="Times New Roman"/>
          <w:b/>
        </w:rPr>
        <w:t>I</w:t>
      </w:r>
      <w:r w:rsidR="000B51EC">
        <w:rPr>
          <w:rFonts w:ascii="Times New Roman" w:hAnsi="Times New Roman" w:cs="Times New Roman"/>
          <w:b/>
        </w:rPr>
        <w:t>I</w:t>
      </w:r>
      <w:r w:rsidR="009B69F8" w:rsidRPr="00D72FAA">
        <w:rPr>
          <w:rFonts w:ascii="Times New Roman" w:hAnsi="Times New Roman" w:cs="Times New Roman"/>
          <w:b/>
        </w:rPr>
        <w:t>.</w:t>
      </w:r>
      <w:r w:rsidR="005C7537" w:rsidRPr="00D72FAA">
        <w:rPr>
          <w:rFonts w:ascii="Times New Roman" w:hAnsi="Times New Roman" w:cs="Times New Roman"/>
          <w:b/>
        </w:rPr>
        <w:t xml:space="preserve"> IZMJENA I DOPUNA FINANCIJSKOG PLANA</w:t>
      </w:r>
      <w:r w:rsidR="00360A29">
        <w:rPr>
          <w:rFonts w:ascii="Times New Roman" w:hAnsi="Times New Roman" w:cs="Times New Roman"/>
          <w:b/>
        </w:rPr>
        <w:t xml:space="preserve"> UMJETNIČKE ŠKOLE FORTUNAT PINTARIĆ</w:t>
      </w:r>
      <w:r w:rsidR="005C7537" w:rsidRPr="00D72FAA">
        <w:rPr>
          <w:rFonts w:ascii="Times New Roman" w:hAnsi="Times New Roman" w:cs="Times New Roman"/>
          <w:b/>
        </w:rPr>
        <w:t xml:space="preserve"> </w:t>
      </w:r>
      <w:r w:rsidR="007249F6">
        <w:rPr>
          <w:rFonts w:ascii="Times New Roman" w:hAnsi="Times New Roman" w:cs="Times New Roman"/>
          <w:b/>
        </w:rPr>
        <w:t>ZA 202</w:t>
      </w:r>
      <w:r w:rsidR="00B013F0">
        <w:rPr>
          <w:rFonts w:ascii="Times New Roman" w:hAnsi="Times New Roman" w:cs="Times New Roman"/>
          <w:b/>
        </w:rPr>
        <w:t>5</w:t>
      </w:r>
      <w:r w:rsidR="005C7537" w:rsidRPr="00D72FAA">
        <w:rPr>
          <w:rFonts w:ascii="Times New Roman" w:hAnsi="Times New Roman" w:cs="Times New Roman"/>
          <w:b/>
        </w:rPr>
        <w:t>.G</w:t>
      </w:r>
      <w:r w:rsidR="0051522A">
        <w:rPr>
          <w:rFonts w:ascii="Times New Roman" w:hAnsi="Times New Roman" w:cs="Times New Roman"/>
          <w:b/>
        </w:rPr>
        <w:t>ODINU</w:t>
      </w:r>
    </w:p>
    <w:p w14:paraId="4D218828" w14:textId="488AECB6" w:rsidR="009C54C8" w:rsidRDefault="009C54C8" w:rsidP="005C7537">
      <w:pPr>
        <w:spacing w:after="0"/>
        <w:jc w:val="center"/>
        <w:rPr>
          <w:rFonts w:ascii="Times New Roman" w:hAnsi="Times New Roman" w:cs="Times New Roman"/>
        </w:rPr>
      </w:pPr>
    </w:p>
    <w:p w14:paraId="14A7D2AB" w14:textId="77777777" w:rsidR="00EB637A" w:rsidRDefault="00EB637A" w:rsidP="00EB637A">
      <w:pPr>
        <w:spacing w:after="0"/>
        <w:rPr>
          <w:rFonts w:ascii="Times New Roman" w:hAnsi="Times New Roman" w:cs="Times New Roman"/>
        </w:rPr>
      </w:pPr>
    </w:p>
    <w:p w14:paraId="1A71579A" w14:textId="77777777" w:rsidR="009C54C8" w:rsidRPr="003451EA" w:rsidRDefault="009C54C8" w:rsidP="003451EA">
      <w:pPr>
        <w:spacing w:after="0"/>
        <w:rPr>
          <w:rFonts w:ascii="Times New Roman" w:hAnsi="Times New Roman"/>
          <w:b/>
        </w:rPr>
      </w:pPr>
      <w:r w:rsidRPr="003451EA">
        <w:rPr>
          <w:rFonts w:ascii="Times New Roman" w:hAnsi="Times New Roman"/>
          <w:b/>
        </w:rPr>
        <w:t>SAŽETAK DJELOKRUGA RADA USTANOVE</w:t>
      </w:r>
    </w:p>
    <w:p w14:paraId="093A6619" w14:textId="77777777" w:rsidR="009C54C8" w:rsidRPr="009C54C8" w:rsidRDefault="009C54C8" w:rsidP="009C54C8">
      <w:pPr>
        <w:pStyle w:val="Odlomakpopisa"/>
        <w:spacing w:after="0"/>
        <w:rPr>
          <w:rFonts w:ascii="Times New Roman" w:hAnsi="Times New Roman"/>
          <w:b/>
        </w:rPr>
      </w:pPr>
    </w:p>
    <w:p w14:paraId="206B7492" w14:textId="77777777" w:rsidR="009C54C8" w:rsidRPr="00737587" w:rsidRDefault="009C54C8" w:rsidP="009C54C8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Umjetnička škola Fortunat Pintarić javna je ustanova u odgoju i obrazovanju koja samostalno djeluje od  2006. godine, čiji je osnivač Grad Koprivnica.</w:t>
      </w:r>
    </w:p>
    <w:p w14:paraId="5563D450" w14:textId="77777777" w:rsidR="009C54C8" w:rsidRPr="00737587" w:rsidRDefault="009C54C8" w:rsidP="009C54C8">
      <w:pPr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Osnovna zadaća Umjetničke škole Fortunat Pintarić je :</w:t>
      </w:r>
    </w:p>
    <w:p w14:paraId="71D4E1A4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osnovnog glazbenog obrazovanja za darovitu djecu u skladu s odobrenjem Ministarstva znanosti, obrazovanja i sporta,</w:t>
      </w:r>
    </w:p>
    <w:p w14:paraId="0EE155F4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pripremnih programa za glazbeno obrazovanje</w:t>
      </w:r>
    </w:p>
    <w:p w14:paraId="75AB3167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srednjoškolskog  glazbenog obrazovanja  </w:t>
      </w:r>
    </w:p>
    <w:p w14:paraId="43932C5C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ostvarivanje programa za osnovnu Školu suvremenog plesa  </w:t>
      </w:r>
    </w:p>
    <w:p w14:paraId="0019ADA7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osnovno obrazovanje djece obavlja se na temelju propisanog nastavnog plana i programa, državnog pedagoškog standarda,  zakona  i propisa donesenih temeljem Zakona o odgoju i obrazovanju u osnovnoj i srednjoj školi</w:t>
      </w:r>
    </w:p>
    <w:p w14:paraId="7427862E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podučavaju slijedeći instrumenti: glasovir, harmonika, flauta, klarinet, truba, trombon, tuba, eufonij, saksofon, rog, gitara, violina, tambura </w:t>
      </w:r>
    </w:p>
    <w:p w14:paraId="2B537A7D" w14:textId="77777777" w:rsidR="009C54C8" w:rsidRPr="00737587" w:rsidRDefault="009C54C8" w:rsidP="009C54C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djeluje Dječji pjevački zbor nižeg uzrasta, dječji pjevački </w:t>
      </w:r>
      <w:r w:rsidR="00C16CD2">
        <w:rPr>
          <w:rFonts w:ascii="Times New Roman" w:hAnsi="Times New Roman" w:cs="Times New Roman"/>
        </w:rPr>
        <w:t>zbor višeg uzrasta, puhački ork</w:t>
      </w:r>
      <w:r w:rsidRPr="00737587">
        <w:rPr>
          <w:rFonts w:ascii="Times New Roman" w:hAnsi="Times New Roman" w:cs="Times New Roman"/>
        </w:rPr>
        <w:t>estar, komorni ansambl tambura, komorni ansambl gitara, komorni ansambl violina, komorni ansambl harmonika, komorni ansambl saksofona, komorni ansambl klarineta</w:t>
      </w:r>
    </w:p>
    <w:p w14:paraId="3C8EE48D" w14:textId="77777777" w:rsidR="009C54C8" w:rsidRPr="00737587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 xml:space="preserve">u školi se izvodi srednjoškolski program za zanimanje glazbenik solo pjevač, glazbenik saksofonist, glazbenik trombonist, glazbenik klavirist,  glazbenik harmonikaš, glazbenik </w:t>
      </w:r>
      <w:proofErr w:type="spellStart"/>
      <w:r w:rsidRPr="00737587">
        <w:rPr>
          <w:rFonts w:ascii="Times New Roman" w:hAnsi="Times New Roman" w:cs="Times New Roman"/>
        </w:rPr>
        <w:t>hornist</w:t>
      </w:r>
      <w:proofErr w:type="spellEnd"/>
      <w:r w:rsidRPr="00737587">
        <w:rPr>
          <w:rFonts w:ascii="Times New Roman" w:hAnsi="Times New Roman" w:cs="Times New Roman"/>
        </w:rPr>
        <w:t xml:space="preserve"> , glazbenik trubač, glazbenik gitarist, glazbenik tamburaš, glazbenik violinist, glazbenik klarinetist; glazbenik teoretičar-teorijski smjer</w:t>
      </w:r>
    </w:p>
    <w:p w14:paraId="50E2D894" w14:textId="77777777" w:rsidR="009C54C8" w:rsidRPr="00737587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izvođenje osnovnoškolskog nastavnog plana i programa suvremenog plesa Ane Maletić</w:t>
      </w:r>
    </w:p>
    <w:p w14:paraId="299B7A10" w14:textId="77777777" w:rsidR="009C54C8" w:rsidRPr="00737587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truba, trombon, rog, eufonij, flauta, klarinet, saksofon, klavir, violina i tambure u Područnom odjelu  u Virju</w:t>
      </w:r>
    </w:p>
    <w:p w14:paraId="4CA6788D" w14:textId="77777777" w:rsidR="009C54C8" w:rsidRDefault="009C54C8" w:rsidP="009C54C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37587">
        <w:rPr>
          <w:rFonts w:ascii="Times New Roman" w:hAnsi="Times New Roman" w:cs="Times New Roman"/>
        </w:rPr>
        <w:t>ostvarivanje programa osnovnoškolskog glazbenog nastavnog plana i programa iz temeljnih predmeta: klavir, gitara, klarinet, flauta, violina, tambura, rog, saksofon, trombon, tuba, truba i harmonika u Područnom odjelu Đurđevcu.</w:t>
      </w:r>
    </w:p>
    <w:p w14:paraId="73237051" w14:textId="3198C132" w:rsidR="001E6545" w:rsidRDefault="001E6545" w:rsidP="001E6545">
      <w:pPr>
        <w:spacing w:after="0" w:line="240" w:lineRule="auto"/>
        <w:rPr>
          <w:rFonts w:ascii="Times New Roman" w:hAnsi="Times New Roman" w:cs="Times New Roman"/>
        </w:rPr>
      </w:pPr>
    </w:p>
    <w:p w14:paraId="2F2E46B0" w14:textId="77777777" w:rsidR="001E6545" w:rsidRDefault="001E6545" w:rsidP="001E65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C38790C" w14:textId="677C784B" w:rsidR="001E6545" w:rsidRDefault="001E6545" w:rsidP="001E65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6545">
        <w:rPr>
          <w:rFonts w:ascii="Times New Roman" w:hAnsi="Times New Roman" w:cs="Times New Roman"/>
          <w:b/>
          <w:bCs/>
        </w:rPr>
        <w:t>UV</w:t>
      </w:r>
      <w:r>
        <w:rPr>
          <w:rFonts w:ascii="Times New Roman" w:hAnsi="Times New Roman" w:cs="Times New Roman"/>
          <w:b/>
          <w:bCs/>
        </w:rPr>
        <w:t>OD</w:t>
      </w:r>
    </w:p>
    <w:p w14:paraId="2D1FB65B" w14:textId="34A3841F" w:rsidR="001E6545" w:rsidRDefault="001E6545" w:rsidP="001E65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D4229F6" w14:textId="2EFED9EB" w:rsidR="001E6545" w:rsidRPr="001E6545" w:rsidRDefault="001E6545" w:rsidP="001E6545">
      <w:pPr>
        <w:jc w:val="both"/>
        <w:rPr>
          <w:rFonts w:ascii="Times New Roman" w:hAnsi="Times New Roman" w:cs="Times New Roman"/>
          <w:bCs/>
        </w:rPr>
      </w:pPr>
      <w:r w:rsidRPr="001E6545">
        <w:rPr>
          <w:rFonts w:ascii="Times New Roman" w:hAnsi="Times New Roman" w:cs="Times New Roman"/>
          <w:bCs/>
        </w:rPr>
        <w:t xml:space="preserve">      Postupak donošenja izmjena i dopuna financijskog plana utvrđen je u članku 46. Zakona o proračunu („Narodne novine“, broj 144/21), te podzakonskim aktima kojima se regulira provedba navedenog Zakona, ponajprije Pravilnikom o proračunskim klasifikacijama („Narodne novine“, br. 4/24) i Pravilnikom o proračunskom računovodstvu i računskom planu („Narodne novine“, br. 158/23</w:t>
      </w:r>
      <w:r w:rsidR="00F07C64">
        <w:rPr>
          <w:rFonts w:ascii="Times New Roman" w:hAnsi="Times New Roman" w:cs="Times New Roman"/>
          <w:bCs/>
        </w:rPr>
        <w:t>.,154/24.</w:t>
      </w:r>
      <w:r w:rsidRPr="001E6545">
        <w:rPr>
          <w:rFonts w:ascii="Times New Roman" w:hAnsi="Times New Roman" w:cs="Times New Roman"/>
          <w:bCs/>
        </w:rPr>
        <w:t xml:space="preserve">). </w:t>
      </w:r>
    </w:p>
    <w:p w14:paraId="4436CAB4" w14:textId="0CEC2A81" w:rsidR="001E6545" w:rsidRDefault="001E6545" w:rsidP="001E6545">
      <w:pPr>
        <w:jc w:val="both"/>
        <w:rPr>
          <w:bCs/>
        </w:rPr>
      </w:pPr>
      <w:r w:rsidRPr="001E6545">
        <w:rPr>
          <w:rFonts w:ascii="Times New Roman" w:hAnsi="Times New Roman" w:cs="Times New Roman"/>
          <w:bCs/>
        </w:rPr>
        <w:t xml:space="preserve">      Zakonom o proračunu utvrđeno je ukoliko tijekom proračunske godine dođe do promjena na prihodovnoj i rashodovnoj strani financijskog plana isti se mora ponovno uravnotežiti, a uravnoteženje plana provodi se izmjenama i dopunama plana prema istom postupku kao i donošenje financijskog plana. Izmjenama i dopunama financijskog plana mijenja se isključivo plan za tekuću proračunsku godinu, a sadrž</w:t>
      </w:r>
      <w:r w:rsidR="00F07C64">
        <w:rPr>
          <w:rFonts w:ascii="Times New Roman" w:hAnsi="Times New Roman" w:cs="Times New Roman"/>
          <w:bCs/>
        </w:rPr>
        <w:t>i</w:t>
      </w:r>
      <w:r w:rsidRPr="001E6545">
        <w:rPr>
          <w:rFonts w:ascii="Times New Roman" w:hAnsi="Times New Roman" w:cs="Times New Roman"/>
          <w:bCs/>
        </w:rPr>
        <w:t xml:space="preserve"> opći i posebni dio te obrazloženje izmjena i dopuna financijskog plana</w:t>
      </w:r>
      <w:r w:rsidRPr="00E0184E">
        <w:rPr>
          <w:bCs/>
        </w:rPr>
        <w:t>.</w:t>
      </w:r>
    </w:p>
    <w:p w14:paraId="7547AB6E" w14:textId="2015C235" w:rsidR="00F7388E" w:rsidRDefault="00EB637A" w:rsidP="00360A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Izmjene i dopune Financijskog plana Umjetničke škole Fortunat Pintarić</w:t>
      </w:r>
      <w:r w:rsidR="008F0351">
        <w:rPr>
          <w:rFonts w:ascii="Times New Roman" w:hAnsi="Times New Roman" w:cs="Times New Roman"/>
        </w:rPr>
        <w:t xml:space="preserve"> za 2025. godinu izrađene su s ciljem usklađivanja plana s ostvarenim i očekivanim prihodima i rashodima te potrebama koje su proizašle tijekom provođenja </w:t>
      </w:r>
      <w:r w:rsidR="008F0351">
        <w:rPr>
          <w:rFonts w:ascii="Times New Roman" w:hAnsi="Times New Roman" w:cs="Times New Roman"/>
        </w:rPr>
        <w:lastRenderedPageBreak/>
        <w:t>nastavne i umjetničke djela</w:t>
      </w:r>
      <w:r w:rsidR="00F7388E">
        <w:rPr>
          <w:rFonts w:ascii="Times New Roman" w:hAnsi="Times New Roman" w:cs="Times New Roman"/>
        </w:rPr>
        <w:t>tnosti. Prilagodbe su rezultat uključivanja i viška prihoda poslovanja kojeg imamo na temelju prenesenog financijskog rezultata iz 2024. godine</w:t>
      </w:r>
      <w:r w:rsidR="000B51EC">
        <w:rPr>
          <w:rFonts w:ascii="Times New Roman" w:hAnsi="Times New Roman" w:cs="Times New Roman"/>
        </w:rPr>
        <w:t xml:space="preserve"> te ukazane potrebe</w:t>
      </w:r>
      <w:r w:rsidR="009C4030">
        <w:rPr>
          <w:rFonts w:ascii="Times New Roman" w:hAnsi="Times New Roman" w:cs="Times New Roman"/>
        </w:rPr>
        <w:t xml:space="preserve"> u poslovanju.</w:t>
      </w:r>
    </w:p>
    <w:p w14:paraId="11E86DE3" w14:textId="77777777" w:rsidR="001B12BD" w:rsidRDefault="001B12BD" w:rsidP="00360A29">
      <w:pPr>
        <w:jc w:val="both"/>
        <w:rPr>
          <w:rFonts w:ascii="Times New Roman" w:hAnsi="Times New Roman" w:cs="Times New Roman"/>
        </w:rPr>
      </w:pPr>
    </w:p>
    <w:p w14:paraId="5DB9C50E" w14:textId="7292C5D0" w:rsidR="001B12BD" w:rsidRPr="001B12BD" w:rsidRDefault="001B12BD" w:rsidP="00360A29">
      <w:pPr>
        <w:jc w:val="both"/>
        <w:rPr>
          <w:rFonts w:ascii="Times New Roman" w:hAnsi="Times New Roman" w:cs="Times New Roman"/>
          <w:b/>
          <w:bCs/>
        </w:rPr>
      </w:pPr>
      <w:r w:rsidRPr="001B12BD">
        <w:rPr>
          <w:rFonts w:ascii="Times New Roman" w:hAnsi="Times New Roman" w:cs="Times New Roman"/>
          <w:b/>
          <w:bCs/>
        </w:rPr>
        <w:t>I</w:t>
      </w:r>
      <w:r w:rsidR="000B51EC">
        <w:rPr>
          <w:rFonts w:ascii="Times New Roman" w:hAnsi="Times New Roman" w:cs="Times New Roman"/>
          <w:b/>
          <w:bCs/>
        </w:rPr>
        <w:t>I</w:t>
      </w:r>
      <w:r w:rsidRPr="001B12BD">
        <w:rPr>
          <w:rFonts w:ascii="Times New Roman" w:hAnsi="Times New Roman" w:cs="Times New Roman"/>
          <w:b/>
          <w:bCs/>
        </w:rPr>
        <w:t>. IZMJENE I DOPUNE FINANCIJSKOG PLANA ZA 2025. GODINU</w:t>
      </w:r>
    </w:p>
    <w:p w14:paraId="261684D1" w14:textId="30FCAEBE" w:rsidR="001E6545" w:rsidRDefault="00BE0D33" w:rsidP="001E65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0B51EC">
        <w:rPr>
          <w:rFonts w:ascii="Times New Roman" w:hAnsi="Times New Roman" w:cs="Times New Roman"/>
        </w:rPr>
        <w:t>I</w:t>
      </w:r>
      <w:r w:rsidR="00360A29">
        <w:rPr>
          <w:rFonts w:ascii="Times New Roman" w:hAnsi="Times New Roman" w:cs="Times New Roman"/>
        </w:rPr>
        <w:t>. Izmjenama i dopunama Financijskog plana Umjetničke škole Fortunat Pintarić za 202</w:t>
      </w:r>
      <w:r w:rsidR="00D26074">
        <w:rPr>
          <w:rFonts w:ascii="Times New Roman" w:hAnsi="Times New Roman" w:cs="Times New Roman"/>
        </w:rPr>
        <w:t>5</w:t>
      </w:r>
      <w:r w:rsidR="00360A29">
        <w:rPr>
          <w:rFonts w:ascii="Times New Roman" w:hAnsi="Times New Roman" w:cs="Times New Roman"/>
        </w:rPr>
        <w:t xml:space="preserve">. godinu predlažemo povećanje za </w:t>
      </w:r>
      <w:r w:rsidR="000B51EC">
        <w:rPr>
          <w:rFonts w:ascii="Times New Roman" w:hAnsi="Times New Roman" w:cs="Times New Roman"/>
        </w:rPr>
        <w:t>400</w:t>
      </w:r>
      <w:r w:rsidR="00D26074">
        <w:rPr>
          <w:rFonts w:ascii="Times New Roman" w:hAnsi="Times New Roman" w:cs="Times New Roman"/>
        </w:rPr>
        <w:t>,00</w:t>
      </w:r>
      <w:r w:rsidR="00360A29">
        <w:rPr>
          <w:rFonts w:ascii="Times New Roman" w:hAnsi="Times New Roman" w:cs="Times New Roman"/>
        </w:rPr>
        <w:t xml:space="preserve"> eura te novi plan iznosi </w:t>
      </w:r>
      <w:r w:rsidR="00D26074">
        <w:rPr>
          <w:rFonts w:ascii="Times New Roman" w:hAnsi="Times New Roman" w:cs="Times New Roman"/>
        </w:rPr>
        <w:t>1.780.</w:t>
      </w:r>
      <w:r w:rsidR="000B51EC">
        <w:rPr>
          <w:rFonts w:ascii="Times New Roman" w:hAnsi="Times New Roman" w:cs="Times New Roman"/>
        </w:rPr>
        <w:t>9</w:t>
      </w:r>
      <w:r w:rsidR="00D26074">
        <w:rPr>
          <w:rFonts w:ascii="Times New Roman" w:hAnsi="Times New Roman" w:cs="Times New Roman"/>
        </w:rPr>
        <w:t>31,00</w:t>
      </w:r>
      <w:r w:rsidR="00DC5C1C">
        <w:rPr>
          <w:rFonts w:ascii="Times New Roman" w:hAnsi="Times New Roman" w:cs="Times New Roman"/>
        </w:rPr>
        <w:t xml:space="preserve"> </w:t>
      </w:r>
      <w:r w:rsidR="00360A29">
        <w:rPr>
          <w:rFonts w:ascii="Times New Roman" w:hAnsi="Times New Roman" w:cs="Times New Roman"/>
        </w:rPr>
        <w:t>eura</w:t>
      </w:r>
    </w:p>
    <w:p w14:paraId="21A408D5" w14:textId="23637B9A" w:rsidR="001E6545" w:rsidRDefault="001E6545" w:rsidP="001E6545">
      <w:pPr>
        <w:jc w:val="both"/>
        <w:rPr>
          <w:rFonts w:ascii="Times New Roman" w:hAnsi="Times New Roman" w:cs="Times New Roman"/>
        </w:rPr>
      </w:pPr>
      <w:r w:rsidRPr="001E6545">
        <w:rPr>
          <w:rFonts w:ascii="Times New Roman" w:hAnsi="Times New Roman" w:cs="Times New Roman"/>
        </w:rPr>
        <w:t xml:space="preserve">  U nastavku se prikazuje tab</w:t>
      </w:r>
      <w:r w:rsidR="00E14570">
        <w:rPr>
          <w:rFonts w:ascii="Times New Roman" w:hAnsi="Times New Roman" w:cs="Times New Roman"/>
        </w:rPr>
        <w:t>elarni</w:t>
      </w:r>
      <w:r w:rsidRPr="001E6545">
        <w:rPr>
          <w:rFonts w:ascii="Times New Roman" w:hAnsi="Times New Roman" w:cs="Times New Roman"/>
        </w:rPr>
        <w:t xml:space="preserve"> prikaz prihoda i rashoda koj</w:t>
      </w:r>
      <w:r w:rsidR="009C4030">
        <w:rPr>
          <w:rFonts w:ascii="Times New Roman" w:hAnsi="Times New Roman" w:cs="Times New Roman"/>
        </w:rPr>
        <w:t>i</w:t>
      </w:r>
      <w:r w:rsidRPr="001E6545">
        <w:rPr>
          <w:rFonts w:ascii="Times New Roman" w:hAnsi="Times New Roman" w:cs="Times New Roman"/>
        </w:rPr>
        <w:t xml:space="preserve"> se predlažu </w:t>
      </w:r>
      <w:r w:rsidR="000B51EC">
        <w:rPr>
          <w:rFonts w:ascii="Times New Roman" w:hAnsi="Times New Roman" w:cs="Times New Roman"/>
        </w:rPr>
        <w:t>D</w:t>
      </w:r>
      <w:r w:rsidRPr="001E6545">
        <w:rPr>
          <w:rFonts w:ascii="Times New Roman" w:hAnsi="Times New Roman" w:cs="Times New Roman"/>
        </w:rPr>
        <w:t>r</w:t>
      </w:r>
      <w:r w:rsidR="000B51EC">
        <w:rPr>
          <w:rFonts w:ascii="Times New Roman" w:hAnsi="Times New Roman" w:cs="Times New Roman"/>
        </w:rPr>
        <w:t>ug</w:t>
      </w:r>
      <w:r w:rsidRPr="001E6545">
        <w:rPr>
          <w:rFonts w:ascii="Times New Roman" w:hAnsi="Times New Roman" w:cs="Times New Roman"/>
        </w:rPr>
        <w:t>im izmjenama i dopunama Financijskog plana za 2025. godinu.</w:t>
      </w:r>
    </w:p>
    <w:p w14:paraId="5E550A9D" w14:textId="41DA2E7B" w:rsidR="00E14570" w:rsidRDefault="00E14570" w:rsidP="001E654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14570">
        <w:rPr>
          <w:rFonts w:ascii="Times New Roman" w:hAnsi="Times New Roman" w:cs="Times New Roman"/>
          <w:b/>
          <w:bCs/>
        </w:rPr>
        <w:t>SAŽETAK RAČUN PRIHODA I RASHODA</w:t>
      </w:r>
    </w:p>
    <w:p w14:paraId="6A360A22" w14:textId="77777777" w:rsidR="00E14570" w:rsidRPr="00E14570" w:rsidRDefault="00E14570" w:rsidP="00E1457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</w:p>
    <w:tbl>
      <w:tblPr>
        <w:tblW w:w="963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4"/>
        <w:gridCol w:w="1701"/>
        <w:gridCol w:w="1559"/>
        <w:gridCol w:w="1843"/>
        <w:gridCol w:w="1275"/>
      </w:tblGrid>
      <w:tr w:rsidR="001B12BD" w:rsidRPr="00293619" w14:paraId="14739A76" w14:textId="77777777" w:rsidTr="003142FF">
        <w:trPr>
          <w:trHeight w:val="495"/>
        </w:trPr>
        <w:tc>
          <w:tcPr>
            <w:tcW w:w="3254" w:type="dxa"/>
          </w:tcPr>
          <w:p w14:paraId="35EDDBED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11AE932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1701" w:type="dxa"/>
          </w:tcPr>
          <w:p w14:paraId="0070CB54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3516C9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Plan za 2025.</w:t>
            </w:r>
          </w:p>
          <w:p w14:paraId="49B7BDA6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8F36358" w14:textId="77777777" w:rsidR="001B12BD" w:rsidRPr="00293619" w:rsidRDefault="001B12BD" w:rsidP="00E14570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1C36DFC4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0332FE8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Povećanje/</w:t>
            </w:r>
          </w:p>
          <w:p w14:paraId="46C1989E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smanjenje</w:t>
            </w:r>
          </w:p>
          <w:p w14:paraId="0C08CE3A" w14:textId="77777777" w:rsidR="001B12BD" w:rsidRPr="00293619" w:rsidRDefault="001B12BD" w:rsidP="00E14570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8DC4D5A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6905E12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Novi plan za 2025.</w:t>
            </w:r>
          </w:p>
          <w:p w14:paraId="2B75B35B" w14:textId="77777777" w:rsidR="001B12BD" w:rsidRPr="00293619" w:rsidRDefault="001B12BD" w:rsidP="00E14570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5D6E633A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EE1989C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  <w:p w14:paraId="5FA89221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0FAE6C2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3/1</w:t>
            </w:r>
          </w:p>
        </w:tc>
      </w:tr>
      <w:tr w:rsidR="001B12BD" w:rsidRPr="00293619" w14:paraId="089F3C13" w14:textId="77777777" w:rsidTr="001B12BD">
        <w:trPr>
          <w:trHeight w:val="257"/>
        </w:trPr>
        <w:tc>
          <w:tcPr>
            <w:tcW w:w="3254" w:type="dxa"/>
          </w:tcPr>
          <w:p w14:paraId="31F96F9E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PRIHODI UKUPNO</w:t>
            </w:r>
          </w:p>
          <w:p w14:paraId="493BD691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EFAAB20" w14:textId="69670323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1.472.283,00</w:t>
            </w:r>
          </w:p>
        </w:tc>
        <w:tc>
          <w:tcPr>
            <w:tcW w:w="1559" w:type="dxa"/>
          </w:tcPr>
          <w:p w14:paraId="5856CC7E" w14:textId="2E8D998B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843" w:type="dxa"/>
          </w:tcPr>
          <w:p w14:paraId="50FB8A86" w14:textId="0905AFF9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1.472.683,00</w:t>
            </w:r>
          </w:p>
        </w:tc>
        <w:tc>
          <w:tcPr>
            <w:tcW w:w="1275" w:type="dxa"/>
          </w:tcPr>
          <w:p w14:paraId="1BE05811" w14:textId="3E547648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1B12BD" w:rsidRPr="00293619" w14:paraId="10492192" w14:textId="77777777" w:rsidTr="003142FF">
        <w:trPr>
          <w:trHeight w:val="510"/>
        </w:trPr>
        <w:tc>
          <w:tcPr>
            <w:tcW w:w="3254" w:type="dxa"/>
          </w:tcPr>
          <w:p w14:paraId="5FD06BB5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PRIHODI POSLOVANJA</w:t>
            </w:r>
          </w:p>
          <w:p w14:paraId="59C0F18B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1F81AD" w14:textId="77777777" w:rsidR="001B12BD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1.472.283,00</w:t>
            </w:r>
          </w:p>
          <w:p w14:paraId="59FF45D3" w14:textId="2DEDBAAE" w:rsidR="000B51EC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312691CF" w14:textId="287BA265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400,00</w:t>
            </w:r>
          </w:p>
        </w:tc>
        <w:tc>
          <w:tcPr>
            <w:tcW w:w="1843" w:type="dxa"/>
          </w:tcPr>
          <w:p w14:paraId="2FB48A17" w14:textId="5B7BD37F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1.472.683,00</w:t>
            </w:r>
          </w:p>
        </w:tc>
        <w:tc>
          <w:tcPr>
            <w:tcW w:w="1275" w:type="dxa"/>
          </w:tcPr>
          <w:p w14:paraId="3C2270AB" w14:textId="14E6C2DE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1B12BD" w:rsidRPr="00293619" w14:paraId="32877BED" w14:textId="77777777" w:rsidTr="003142FF">
        <w:trPr>
          <w:trHeight w:val="516"/>
        </w:trPr>
        <w:tc>
          <w:tcPr>
            <w:tcW w:w="3254" w:type="dxa"/>
          </w:tcPr>
          <w:p w14:paraId="6099A286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RASHODI UKUPNO</w:t>
            </w:r>
          </w:p>
        </w:tc>
        <w:tc>
          <w:tcPr>
            <w:tcW w:w="1701" w:type="dxa"/>
          </w:tcPr>
          <w:p w14:paraId="00FCC946" w14:textId="484AF8F5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1.780.531,00</w:t>
            </w:r>
          </w:p>
        </w:tc>
        <w:tc>
          <w:tcPr>
            <w:tcW w:w="1559" w:type="dxa"/>
          </w:tcPr>
          <w:p w14:paraId="7CC226B1" w14:textId="144E8BF3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843" w:type="dxa"/>
          </w:tcPr>
          <w:p w14:paraId="3F535135" w14:textId="04396771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1.780.931,00</w:t>
            </w:r>
          </w:p>
        </w:tc>
        <w:tc>
          <w:tcPr>
            <w:tcW w:w="1275" w:type="dxa"/>
          </w:tcPr>
          <w:p w14:paraId="7A5F3BD6" w14:textId="66CAA3F1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1B12BD" w:rsidRPr="00293619" w14:paraId="531EF59B" w14:textId="77777777" w:rsidTr="003142FF">
        <w:trPr>
          <w:trHeight w:val="480"/>
        </w:trPr>
        <w:tc>
          <w:tcPr>
            <w:tcW w:w="3254" w:type="dxa"/>
          </w:tcPr>
          <w:p w14:paraId="12A9FE41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RASHODI POSLOVANJA</w:t>
            </w:r>
          </w:p>
        </w:tc>
        <w:tc>
          <w:tcPr>
            <w:tcW w:w="1701" w:type="dxa"/>
          </w:tcPr>
          <w:p w14:paraId="1E8BBE36" w14:textId="30C2B077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1.675.531,00</w:t>
            </w:r>
          </w:p>
        </w:tc>
        <w:tc>
          <w:tcPr>
            <w:tcW w:w="1559" w:type="dxa"/>
          </w:tcPr>
          <w:p w14:paraId="720CD2BD" w14:textId="67CBCF33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-26.000,00</w:t>
            </w:r>
          </w:p>
        </w:tc>
        <w:tc>
          <w:tcPr>
            <w:tcW w:w="1843" w:type="dxa"/>
          </w:tcPr>
          <w:p w14:paraId="70FD948B" w14:textId="43E96310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1.649.531,00</w:t>
            </w:r>
          </w:p>
        </w:tc>
        <w:tc>
          <w:tcPr>
            <w:tcW w:w="1275" w:type="dxa"/>
          </w:tcPr>
          <w:p w14:paraId="4B388A50" w14:textId="2E39D5E8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</w:t>
            </w:r>
          </w:p>
        </w:tc>
      </w:tr>
      <w:tr w:rsidR="001B12BD" w:rsidRPr="00293619" w14:paraId="30870002" w14:textId="77777777" w:rsidTr="003142FF">
        <w:trPr>
          <w:trHeight w:val="675"/>
        </w:trPr>
        <w:tc>
          <w:tcPr>
            <w:tcW w:w="3254" w:type="dxa"/>
          </w:tcPr>
          <w:p w14:paraId="65C10D47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Cs/>
                <w:sz w:val="16"/>
                <w:szCs w:val="16"/>
              </w:rPr>
              <w:t>RASHODI ZA NABAVU NEFINANCIJSKE IMOVINE</w:t>
            </w:r>
          </w:p>
        </w:tc>
        <w:tc>
          <w:tcPr>
            <w:tcW w:w="1701" w:type="dxa"/>
          </w:tcPr>
          <w:p w14:paraId="3A27520E" w14:textId="2B6DC591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105.000,00</w:t>
            </w:r>
          </w:p>
        </w:tc>
        <w:tc>
          <w:tcPr>
            <w:tcW w:w="1559" w:type="dxa"/>
          </w:tcPr>
          <w:p w14:paraId="1183C731" w14:textId="50C45B4B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26.400,00</w:t>
            </w:r>
          </w:p>
        </w:tc>
        <w:tc>
          <w:tcPr>
            <w:tcW w:w="1843" w:type="dxa"/>
          </w:tcPr>
          <w:p w14:paraId="077D700E" w14:textId="4F6760BE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131.400,00</w:t>
            </w:r>
          </w:p>
        </w:tc>
        <w:tc>
          <w:tcPr>
            <w:tcW w:w="1275" w:type="dxa"/>
          </w:tcPr>
          <w:p w14:paraId="724086F9" w14:textId="1B201DA3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125</w:t>
            </w:r>
          </w:p>
        </w:tc>
      </w:tr>
      <w:tr w:rsidR="001B12BD" w:rsidRPr="00293619" w14:paraId="0193FC71" w14:textId="77777777" w:rsidTr="003142FF">
        <w:trPr>
          <w:trHeight w:val="484"/>
        </w:trPr>
        <w:tc>
          <w:tcPr>
            <w:tcW w:w="3254" w:type="dxa"/>
          </w:tcPr>
          <w:p w14:paraId="461828D0" w14:textId="77777777" w:rsidR="001B12BD" w:rsidRPr="00293619" w:rsidRDefault="001B12BD" w:rsidP="001B12BD">
            <w:pPr>
              <w:pStyle w:val="Bezproreda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RAZLIKA-VIŠAK/MANJAK</w:t>
            </w:r>
          </w:p>
        </w:tc>
        <w:tc>
          <w:tcPr>
            <w:tcW w:w="1701" w:type="dxa"/>
          </w:tcPr>
          <w:p w14:paraId="27E29678" w14:textId="261888C9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-308.248,00</w:t>
            </w:r>
          </w:p>
        </w:tc>
        <w:tc>
          <w:tcPr>
            <w:tcW w:w="1559" w:type="dxa"/>
          </w:tcPr>
          <w:p w14:paraId="3AB34A71" w14:textId="33D86399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</w:tcPr>
          <w:p w14:paraId="0B3BAA85" w14:textId="5E312C2A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-308.248,00</w:t>
            </w:r>
          </w:p>
        </w:tc>
        <w:tc>
          <w:tcPr>
            <w:tcW w:w="1275" w:type="dxa"/>
          </w:tcPr>
          <w:p w14:paraId="0B095F26" w14:textId="18843253" w:rsidR="001B12BD" w:rsidRPr="00293619" w:rsidRDefault="000B51EC" w:rsidP="00E14570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</w:tbl>
    <w:p w14:paraId="3341818F" w14:textId="77777777" w:rsidR="00E14570" w:rsidRPr="00293619" w:rsidRDefault="00E14570" w:rsidP="00E14570">
      <w:pPr>
        <w:jc w:val="both"/>
        <w:rPr>
          <w:b/>
          <w:sz w:val="16"/>
          <w:szCs w:val="16"/>
        </w:rPr>
      </w:pPr>
    </w:p>
    <w:p w14:paraId="73141B45" w14:textId="52381C68" w:rsidR="00E14570" w:rsidRPr="005B65B2" w:rsidRDefault="00E14570" w:rsidP="005B65B2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</w:rPr>
      </w:pPr>
      <w:r w:rsidRPr="005B65B2">
        <w:rPr>
          <w:rFonts w:ascii="Times New Roman" w:hAnsi="Times New Roman"/>
          <w:b/>
        </w:rPr>
        <w:t>PRENESENI VIŠAK/MANJAK I VIŠEGODIŠNJI PLAN URAVNOTEŽENJA</w:t>
      </w:r>
    </w:p>
    <w:p w14:paraId="36F36A4B" w14:textId="77777777" w:rsidR="00E14570" w:rsidRDefault="00E14570" w:rsidP="001E6545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7"/>
        <w:gridCol w:w="1701"/>
        <w:gridCol w:w="1497"/>
        <w:gridCol w:w="1905"/>
        <w:gridCol w:w="1275"/>
      </w:tblGrid>
      <w:tr w:rsidR="00E14570" w:rsidRPr="001C0E27" w14:paraId="7203F461" w14:textId="77777777" w:rsidTr="00293619">
        <w:trPr>
          <w:trHeight w:val="585"/>
        </w:trPr>
        <w:tc>
          <w:tcPr>
            <w:tcW w:w="3297" w:type="dxa"/>
          </w:tcPr>
          <w:p w14:paraId="277A25B8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VIŠAK IZ PRETHODNE GODINE KOJI SE RASPOREĐUJE</w:t>
            </w:r>
          </w:p>
        </w:tc>
        <w:tc>
          <w:tcPr>
            <w:tcW w:w="1701" w:type="dxa"/>
          </w:tcPr>
          <w:p w14:paraId="1405D9CA" w14:textId="4ABAB02A" w:rsidR="00E14570" w:rsidRPr="00293619" w:rsidRDefault="00C86C01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308.248,00</w:t>
            </w:r>
          </w:p>
        </w:tc>
        <w:tc>
          <w:tcPr>
            <w:tcW w:w="1497" w:type="dxa"/>
          </w:tcPr>
          <w:p w14:paraId="3F80DAF9" w14:textId="0622B546" w:rsidR="00E14570" w:rsidRPr="00293619" w:rsidRDefault="00C86C01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905" w:type="dxa"/>
          </w:tcPr>
          <w:p w14:paraId="4D5D4BF6" w14:textId="6C2D4E89" w:rsidR="00E14570" w:rsidRPr="00293619" w:rsidRDefault="00C86C01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308.248,00</w:t>
            </w:r>
          </w:p>
        </w:tc>
        <w:tc>
          <w:tcPr>
            <w:tcW w:w="1275" w:type="dxa"/>
          </w:tcPr>
          <w:p w14:paraId="0F37FD7A" w14:textId="2DE7DB05" w:rsidR="00E14570" w:rsidRPr="00293619" w:rsidRDefault="00C86C01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14570" w:rsidRPr="001C0E27" w14:paraId="7436CEE6" w14:textId="77777777" w:rsidTr="00293619">
        <w:trPr>
          <w:trHeight w:val="600"/>
        </w:trPr>
        <w:tc>
          <w:tcPr>
            <w:tcW w:w="3297" w:type="dxa"/>
          </w:tcPr>
          <w:p w14:paraId="1CC31CE2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MANJAK IZ PRETHODNE GODINE KOJI SE POKRIVA</w:t>
            </w:r>
          </w:p>
        </w:tc>
        <w:tc>
          <w:tcPr>
            <w:tcW w:w="1701" w:type="dxa"/>
          </w:tcPr>
          <w:p w14:paraId="0437D675" w14:textId="77777777" w:rsidR="00E14570" w:rsidRPr="00293619" w:rsidRDefault="00E14570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97" w:type="dxa"/>
          </w:tcPr>
          <w:p w14:paraId="6D2AFD80" w14:textId="77777777" w:rsidR="00E14570" w:rsidRPr="00293619" w:rsidRDefault="00E14570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905" w:type="dxa"/>
          </w:tcPr>
          <w:p w14:paraId="254BFDC7" w14:textId="77777777" w:rsidR="00E14570" w:rsidRPr="00293619" w:rsidRDefault="00E14570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</w:tcPr>
          <w:p w14:paraId="6F5392E2" w14:textId="77777777" w:rsidR="00E14570" w:rsidRPr="00293619" w:rsidRDefault="00E14570" w:rsidP="009C4030">
            <w:pPr>
              <w:ind w:left="8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14570" w:rsidRPr="001C0E27" w14:paraId="762E34F6" w14:textId="77777777" w:rsidTr="00293619">
        <w:trPr>
          <w:trHeight w:val="551"/>
        </w:trPr>
        <w:tc>
          <w:tcPr>
            <w:tcW w:w="3297" w:type="dxa"/>
          </w:tcPr>
          <w:p w14:paraId="75AC55D9" w14:textId="77777777" w:rsidR="00E14570" w:rsidRPr="00293619" w:rsidRDefault="00E14570" w:rsidP="003142FF">
            <w:pPr>
              <w:ind w:left="8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UKUPNO RASPOLOŽIVA SREDSTVA IZ PRETHODNE GODINE</w:t>
            </w:r>
          </w:p>
        </w:tc>
        <w:tc>
          <w:tcPr>
            <w:tcW w:w="1701" w:type="dxa"/>
          </w:tcPr>
          <w:p w14:paraId="6F664F41" w14:textId="6B5F2FF3" w:rsidR="00E14570" w:rsidRPr="00293619" w:rsidRDefault="00C86C01" w:rsidP="009C4030">
            <w:pPr>
              <w:ind w:left="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308.248,00</w:t>
            </w:r>
          </w:p>
        </w:tc>
        <w:tc>
          <w:tcPr>
            <w:tcW w:w="1497" w:type="dxa"/>
          </w:tcPr>
          <w:p w14:paraId="42FB6055" w14:textId="6D3918E3" w:rsidR="00E14570" w:rsidRPr="00293619" w:rsidRDefault="00C86C01" w:rsidP="009C4030">
            <w:pPr>
              <w:ind w:left="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05" w:type="dxa"/>
          </w:tcPr>
          <w:p w14:paraId="40AB7020" w14:textId="108CF174" w:rsidR="00E14570" w:rsidRPr="00293619" w:rsidRDefault="00293619" w:rsidP="009C4030">
            <w:pPr>
              <w:ind w:left="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308.248,00</w:t>
            </w:r>
          </w:p>
        </w:tc>
        <w:tc>
          <w:tcPr>
            <w:tcW w:w="1275" w:type="dxa"/>
          </w:tcPr>
          <w:p w14:paraId="0BF94DE6" w14:textId="06CBCD56" w:rsidR="00E14570" w:rsidRPr="00293619" w:rsidRDefault="00E14570" w:rsidP="009C4030">
            <w:pPr>
              <w:ind w:left="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936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C86C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</w:tr>
    </w:tbl>
    <w:p w14:paraId="2811D40C" w14:textId="77777777" w:rsidR="001E6545" w:rsidRPr="001E6545" w:rsidRDefault="001E6545" w:rsidP="001E6545">
      <w:pPr>
        <w:jc w:val="both"/>
        <w:rPr>
          <w:rFonts w:ascii="Times New Roman" w:hAnsi="Times New Roman" w:cs="Times New Roman"/>
        </w:rPr>
      </w:pPr>
    </w:p>
    <w:p w14:paraId="4627AC62" w14:textId="1FABF95A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     Prijedlogom </w:t>
      </w:r>
      <w:r w:rsidR="00C86C01">
        <w:rPr>
          <w:rFonts w:ascii="Times New Roman" w:hAnsi="Times New Roman" w:cs="Times New Roman"/>
          <w:bCs/>
          <w:sz w:val="20"/>
          <w:szCs w:val="20"/>
        </w:rPr>
        <w:t>D</w:t>
      </w:r>
      <w:r w:rsidRPr="00293619">
        <w:rPr>
          <w:rFonts w:ascii="Times New Roman" w:hAnsi="Times New Roman" w:cs="Times New Roman"/>
          <w:bCs/>
          <w:sz w:val="20"/>
          <w:szCs w:val="20"/>
        </w:rPr>
        <w:t>r</w:t>
      </w:r>
      <w:r w:rsidR="00C86C01">
        <w:rPr>
          <w:rFonts w:ascii="Times New Roman" w:hAnsi="Times New Roman" w:cs="Times New Roman"/>
          <w:bCs/>
          <w:sz w:val="20"/>
          <w:szCs w:val="20"/>
        </w:rPr>
        <w:t>ug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ih izmjena i dopuna Financijskog plana </w:t>
      </w:r>
      <w:r>
        <w:rPr>
          <w:rFonts w:ascii="Times New Roman" w:hAnsi="Times New Roman" w:cs="Times New Roman"/>
          <w:bCs/>
          <w:sz w:val="20"/>
          <w:szCs w:val="20"/>
        </w:rPr>
        <w:t xml:space="preserve">Umjetničke škole Fortunat Pintarić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za 2025. godinu predlažu se prihodi u iznosu od </w:t>
      </w:r>
      <w:r>
        <w:rPr>
          <w:rFonts w:ascii="Times New Roman" w:hAnsi="Times New Roman" w:cs="Times New Roman"/>
          <w:bCs/>
          <w:sz w:val="20"/>
          <w:szCs w:val="20"/>
        </w:rPr>
        <w:t>1.472.</w:t>
      </w:r>
      <w:r w:rsidR="00C86C01">
        <w:rPr>
          <w:rFonts w:ascii="Times New Roman" w:hAnsi="Times New Roman" w:cs="Times New Roman"/>
          <w:bCs/>
          <w:sz w:val="20"/>
          <w:szCs w:val="20"/>
        </w:rPr>
        <w:t>6</w:t>
      </w:r>
      <w:r>
        <w:rPr>
          <w:rFonts w:ascii="Times New Roman" w:hAnsi="Times New Roman" w:cs="Times New Roman"/>
          <w:bCs/>
          <w:sz w:val="20"/>
          <w:szCs w:val="20"/>
        </w:rPr>
        <w:t>83,00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 što predstavlja </w:t>
      </w:r>
      <w:r>
        <w:rPr>
          <w:rFonts w:ascii="Times New Roman" w:hAnsi="Times New Roman" w:cs="Times New Roman"/>
          <w:bCs/>
          <w:sz w:val="20"/>
          <w:szCs w:val="20"/>
        </w:rPr>
        <w:t>povećanj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e za </w:t>
      </w:r>
      <w:r w:rsidR="00C86C01">
        <w:rPr>
          <w:rFonts w:ascii="Times New Roman" w:hAnsi="Times New Roman" w:cs="Times New Roman"/>
          <w:bCs/>
          <w:sz w:val="20"/>
          <w:szCs w:val="20"/>
        </w:rPr>
        <w:t>400,00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eura, odnosno </w:t>
      </w:r>
      <w:r>
        <w:rPr>
          <w:rFonts w:ascii="Times New Roman" w:hAnsi="Times New Roman" w:cs="Times New Roman"/>
          <w:bCs/>
          <w:sz w:val="20"/>
          <w:szCs w:val="20"/>
        </w:rPr>
        <w:t>100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% u odnosu na dosadašnji plan za 2025. godinu. Rashodi se predlažu u iznosu od </w:t>
      </w:r>
      <w:r>
        <w:rPr>
          <w:rFonts w:ascii="Times New Roman" w:hAnsi="Times New Roman" w:cs="Times New Roman"/>
          <w:bCs/>
          <w:sz w:val="20"/>
          <w:szCs w:val="20"/>
        </w:rPr>
        <w:t>1.780.</w:t>
      </w:r>
      <w:r w:rsidR="00C86C01">
        <w:rPr>
          <w:rFonts w:ascii="Times New Roman" w:hAnsi="Times New Roman" w:cs="Times New Roman"/>
          <w:bCs/>
          <w:sz w:val="20"/>
          <w:szCs w:val="20"/>
        </w:rPr>
        <w:t>9</w:t>
      </w:r>
      <w:r>
        <w:rPr>
          <w:rFonts w:ascii="Times New Roman" w:hAnsi="Times New Roman" w:cs="Times New Roman"/>
          <w:bCs/>
          <w:sz w:val="20"/>
          <w:szCs w:val="20"/>
        </w:rPr>
        <w:t>31,00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 što predstavlja </w:t>
      </w:r>
      <w:r>
        <w:rPr>
          <w:rFonts w:ascii="Times New Roman" w:hAnsi="Times New Roman" w:cs="Times New Roman"/>
          <w:bCs/>
          <w:sz w:val="20"/>
          <w:szCs w:val="20"/>
        </w:rPr>
        <w:t xml:space="preserve">povećanje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za </w:t>
      </w:r>
      <w:r w:rsidR="00C86C01">
        <w:rPr>
          <w:rFonts w:ascii="Times New Roman" w:hAnsi="Times New Roman" w:cs="Times New Roman"/>
          <w:bCs/>
          <w:sz w:val="20"/>
          <w:szCs w:val="20"/>
        </w:rPr>
        <w:t>400,00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eura, odnosno </w:t>
      </w:r>
      <w:r>
        <w:rPr>
          <w:rFonts w:ascii="Times New Roman" w:hAnsi="Times New Roman" w:cs="Times New Roman"/>
          <w:bCs/>
          <w:sz w:val="20"/>
          <w:szCs w:val="20"/>
        </w:rPr>
        <w:t>10</w:t>
      </w:r>
      <w:r w:rsidR="00C86C01">
        <w:rPr>
          <w:rFonts w:ascii="Times New Roman" w:hAnsi="Times New Roman" w:cs="Times New Roman"/>
          <w:bCs/>
          <w:sz w:val="20"/>
          <w:szCs w:val="20"/>
        </w:rPr>
        <w:t>0</w:t>
      </w:r>
      <w:r w:rsidRPr="00293619">
        <w:rPr>
          <w:rFonts w:ascii="Times New Roman" w:hAnsi="Times New Roman" w:cs="Times New Roman"/>
          <w:bCs/>
          <w:sz w:val="20"/>
          <w:szCs w:val="20"/>
        </w:rPr>
        <w:t>% u odnosu na dosadašnji plan.</w:t>
      </w:r>
    </w:p>
    <w:p w14:paraId="7B0CF5ED" w14:textId="7777777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438C7E" w14:textId="78C5CB6D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     Ukupni prihodi su manji od rashoda za </w:t>
      </w:r>
      <w:r>
        <w:rPr>
          <w:rFonts w:ascii="Times New Roman" w:hAnsi="Times New Roman" w:cs="Times New Roman"/>
          <w:bCs/>
          <w:sz w:val="20"/>
          <w:szCs w:val="20"/>
        </w:rPr>
        <w:t>308.248,00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eura, a navedeni iznos razlike uravnotežuje se prenesenim sredstvima viška iz prethodnog razdoblja koja se uključuju u plan.</w:t>
      </w:r>
    </w:p>
    <w:p w14:paraId="2971A04E" w14:textId="7777777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4D33130" w14:textId="6F8BF757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    Prema Odluci o raspodjeli rezultata poslovanja </w:t>
      </w:r>
      <w:r w:rsidR="00B238DC">
        <w:rPr>
          <w:rFonts w:ascii="Times New Roman" w:hAnsi="Times New Roman" w:cs="Times New Roman"/>
          <w:bCs/>
          <w:sz w:val="20"/>
          <w:szCs w:val="20"/>
        </w:rPr>
        <w:t xml:space="preserve">Umjetnička škola Fortunat Pintarić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za 2024. godinu  nakon provedene preraspodjele, financijski rezultat za 2024. godinu  procjenj</w:t>
      </w:r>
      <w:r w:rsidR="006528F6">
        <w:rPr>
          <w:rFonts w:ascii="Times New Roman" w:hAnsi="Times New Roman" w:cs="Times New Roman"/>
          <w:bCs/>
          <w:sz w:val="20"/>
          <w:szCs w:val="20"/>
        </w:rPr>
        <w:t xml:space="preserve">uje 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višak prihoda nad rashodima u iznosu od </w:t>
      </w:r>
      <w:r w:rsidR="00B238DC">
        <w:rPr>
          <w:rFonts w:ascii="Times New Roman" w:hAnsi="Times New Roman" w:cs="Times New Roman"/>
          <w:bCs/>
          <w:sz w:val="20"/>
          <w:szCs w:val="20"/>
        </w:rPr>
        <w:t>308.248,00</w:t>
      </w:r>
      <w:r w:rsidRPr="00293619">
        <w:rPr>
          <w:rFonts w:ascii="Times New Roman" w:hAnsi="Times New Roman" w:cs="Times New Roman"/>
          <w:bCs/>
          <w:sz w:val="20"/>
          <w:szCs w:val="20"/>
        </w:rPr>
        <w:t xml:space="preserve"> eura koji se uglavnom odnosi na ostvareni višak prihoda poslovanja iz  vlastitih prihoda</w:t>
      </w:r>
      <w:r w:rsidR="00B238DC">
        <w:rPr>
          <w:rFonts w:ascii="Times New Roman" w:hAnsi="Times New Roman" w:cs="Times New Roman"/>
          <w:bCs/>
          <w:sz w:val="20"/>
          <w:szCs w:val="20"/>
        </w:rPr>
        <w:t xml:space="preserve"> i prihod</w:t>
      </w:r>
      <w:r w:rsidR="006528F6">
        <w:rPr>
          <w:rFonts w:ascii="Times New Roman" w:hAnsi="Times New Roman" w:cs="Times New Roman"/>
          <w:bCs/>
          <w:sz w:val="20"/>
          <w:szCs w:val="20"/>
        </w:rPr>
        <w:t>a</w:t>
      </w:r>
      <w:r w:rsidR="00B238DC">
        <w:rPr>
          <w:rFonts w:ascii="Times New Roman" w:hAnsi="Times New Roman" w:cs="Times New Roman"/>
          <w:bCs/>
          <w:sz w:val="20"/>
          <w:szCs w:val="20"/>
        </w:rPr>
        <w:t xml:space="preserve"> od posebne namjene.</w:t>
      </w:r>
    </w:p>
    <w:p w14:paraId="3DA20F5A" w14:textId="77777777" w:rsidR="00B238DC" w:rsidRDefault="00B238DC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AB23B7C" w14:textId="2389B429" w:rsidR="00293619" w:rsidRPr="00293619" w:rsidRDefault="00293619" w:rsidP="00293619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93619">
        <w:rPr>
          <w:rFonts w:ascii="Times New Roman" w:hAnsi="Times New Roman" w:cs="Times New Roman"/>
          <w:bCs/>
          <w:sz w:val="20"/>
          <w:szCs w:val="20"/>
        </w:rPr>
        <w:lastRenderedPageBreak/>
        <w:t>Ovim Rebalansom su izvršene izmjene na prihodovnoj i rashodovnoj strani financijskog plana temeljem dosadašnjeg ostvarenja prihoda i rashoda.</w:t>
      </w:r>
    </w:p>
    <w:p w14:paraId="2CF394B8" w14:textId="77777777" w:rsidR="001E6545" w:rsidRPr="00293619" w:rsidRDefault="001E6545" w:rsidP="0029361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57227CC" w14:textId="77777777" w:rsidR="00D50319" w:rsidRPr="00B238DC" w:rsidRDefault="00D50319" w:rsidP="00D50319">
      <w:pPr>
        <w:jc w:val="both"/>
        <w:rPr>
          <w:rFonts w:ascii="Times New Roman" w:eastAsia="Calibri" w:hAnsi="Times New Roman" w:cs="Times New Roman"/>
          <w:b/>
          <w:bCs/>
        </w:rPr>
      </w:pPr>
      <w:r w:rsidRPr="00B238DC">
        <w:rPr>
          <w:rFonts w:ascii="Times New Roman" w:eastAsia="Calibri" w:hAnsi="Times New Roman" w:cs="Times New Roman"/>
          <w:b/>
          <w:bCs/>
        </w:rPr>
        <w:t>PRIHODI:</w:t>
      </w:r>
    </w:p>
    <w:p w14:paraId="38F10F28" w14:textId="0227909A" w:rsidR="00F7388E" w:rsidRDefault="00BE0D33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86C01">
        <w:rPr>
          <w:rFonts w:ascii="Times New Roman" w:hAnsi="Times New Roman" w:cs="Times New Roman"/>
        </w:rPr>
        <w:t>I</w:t>
      </w:r>
      <w:r w:rsidR="00360A29">
        <w:rPr>
          <w:rFonts w:ascii="Times New Roman" w:hAnsi="Times New Roman" w:cs="Times New Roman"/>
        </w:rPr>
        <w:t>. izmjenama i dopunama F</w:t>
      </w:r>
      <w:r w:rsidR="00755566">
        <w:rPr>
          <w:rFonts w:ascii="Times New Roman" w:hAnsi="Times New Roman" w:cs="Times New Roman"/>
        </w:rPr>
        <w:t>inan</w:t>
      </w:r>
      <w:r w:rsidR="00360A29">
        <w:rPr>
          <w:rFonts w:ascii="Times New Roman" w:hAnsi="Times New Roman" w:cs="Times New Roman"/>
        </w:rPr>
        <w:t>cijskog plana Umjetničke škole Fortunat Pintarić Koprivnica planiraju se prihodi posl</w:t>
      </w:r>
      <w:r w:rsidR="002E0899">
        <w:rPr>
          <w:rFonts w:ascii="Times New Roman" w:hAnsi="Times New Roman" w:cs="Times New Roman"/>
        </w:rPr>
        <w:t>ovanja</w:t>
      </w:r>
      <w:r w:rsidR="00FA3795">
        <w:rPr>
          <w:rFonts w:ascii="Times New Roman" w:hAnsi="Times New Roman" w:cs="Times New Roman"/>
        </w:rPr>
        <w:t xml:space="preserve"> </w:t>
      </w:r>
      <w:r w:rsidR="002E0899">
        <w:rPr>
          <w:rFonts w:ascii="Times New Roman" w:hAnsi="Times New Roman" w:cs="Times New Roman"/>
        </w:rPr>
        <w:t xml:space="preserve">u ukupnom iznosu od  </w:t>
      </w:r>
      <w:r w:rsidR="00C2270E">
        <w:rPr>
          <w:rFonts w:ascii="Times New Roman" w:hAnsi="Times New Roman" w:cs="Times New Roman"/>
        </w:rPr>
        <w:t>1.472.</w:t>
      </w:r>
      <w:r w:rsidR="00C86C01">
        <w:rPr>
          <w:rFonts w:ascii="Times New Roman" w:hAnsi="Times New Roman" w:cs="Times New Roman"/>
        </w:rPr>
        <w:t>6</w:t>
      </w:r>
      <w:r w:rsidR="00C2270E">
        <w:rPr>
          <w:rFonts w:ascii="Times New Roman" w:hAnsi="Times New Roman" w:cs="Times New Roman"/>
        </w:rPr>
        <w:t>83,00</w:t>
      </w:r>
      <w:r w:rsidR="00360A29">
        <w:rPr>
          <w:rFonts w:ascii="Times New Roman" w:hAnsi="Times New Roman" w:cs="Times New Roman"/>
        </w:rPr>
        <w:t xml:space="preserve"> eura što je povećanje za </w:t>
      </w:r>
      <w:r w:rsidR="00C86C01">
        <w:rPr>
          <w:rFonts w:ascii="Times New Roman" w:hAnsi="Times New Roman" w:cs="Times New Roman"/>
        </w:rPr>
        <w:t>400,00</w:t>
      </w:r>
      <w:r w:rsidR="00360A29">
        <w:rPr>
          <w:rFonts w:ascii="Times New Roman" w:hAnsi="Times New Roman" w:cs="Times New Roman"/>
        </w:rPr>
        <w:t xml:space="preserve"> eura u odnosu na</w:t>
      </w:r>
      <w:r w:rsidR="00D26074">
        <w:rPr>
          <w:rFonts w:ascii="Times New Roman" w:hAnsi="Times New Roman" w:cs="Times New Roman"/>
        </w:rPr>
        <w:t xml:space="preserve">  </w:t>
      </w:r>
      <w:r w:rsidR="00C86C01">
        <w:rPr>
          <w:rFonts w:ascii="Times New Roman" w:hAnsi="Times New Roman" w:cs="Times New Roman"/>
        </w:rPr>
        <w:t>I. izmjene i dopune</w:t>
      </w:r>
      <w:r w:rsidR="00DC5C1C">
        <w:rPr>
          <w:rFonts w:ascii="Times New Roman" w:hAnsi="Times New Roman" w:cs="Times New Roman"/>
        </w:rPr>
        <w:t xml:space="preserve"> </w:t>
      </w:r>
      <w:r w:rsidR="00360A29">
        <w:rPr>
          <w:rFonts w:ascii="Times New Roman" w:hAnsi="Times New Roman" w:cs="Times New Roman"/>
        </w:rPr>
        <w:t xml:space="preserve"> financijs</w:t>
      </w:r>
      <w:r w:rsidR="00C86C01">
        <w:rPr>
          <w:rFonts w:ascii="Times New Roman" w:hAnsi="Times New Roman" w:cs="Times New Roman"/>
        </w:rPr>
        <w:t>kog</w:t>
      </w:r>
      <w:r w:rsidR="00DC5C1C">
        <w:rPr>
          <w:rFonts w:ascii="Times New Roman" w:hAnsi="Times New Roman" w:cs="Times New Roman"/>
        </w:rPr>
        <w:t xml:space="preserve"> </w:t>
      </w:r>
      <w:r w:rsidR="00360A29">
        <w:rPr>
          <w:rFonts w:ascii="Times New Roman" w:hAnsi="Times New Roman" w:cs="Times New Roman"/>
        </w:rPr>
        <w:t>plan</w:t>
      </w:r>
      <w:r w:rsidR="00C86C01">
        <w:rPr>
          <w:rFonts w:ascii="Times New Roman" w:hAnsi="Times New Roman" w:cs="Times New Roman"/>
        </w:rPr>
        <w:t>a.</w:t>
      </w:r>
      <w:r w:rsidR="00360A29">
        <w:rPr>
          <w:rFonts w:ascii="Times New Roman" w:hAnsi="Times New Roman" w:cs="Times New Roman"/>
        </w:rPr>
        <w:t xml:space="preserve"> </w:t>
      </w: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08"/>
        <w:gridCol w:w="851"/>
        <w:gridCol w:w="2381"/>
        <w:gridCol w:w="1588"/>
        <w:gridCol w:w="1417"/>
        <w:gridCol w:w="1701"/>
        <w:gridCol w:w="993"/>
      </w:tblGrid>
      <w:tr w:rsidR="006F25B3" w:rsidRPr="006F25B3" w14:paraId="39775801" w14:textId="77777777" w:rsidTr="005340E5">
        <w:trPr>
          <w:trHeight w:val="753"/>
        </w:trPr>
        <w:tc>
          <w:tcPr>
            <w:tcW w:w="597" w:type="dxa"/>
          </w:tcPr>
          <w:p w14:paraId="593895EB" w14:textId="36B87693" w:rsidR="006F25B3" w:rsidRPr="006F25B3" w:rsidRDefault="006F25B3" w:rsidP="005340E5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RAZRED</w:t>
            </w:r>
          </w:p>
        </w:tc>
        <w:tc>
          <w:tcPr>
            <w:tcW w:w="708" w:type="dxa"/>
          </w:tcPr>
          <w:p w14:paraId="6ADC5114" w14:textId="5464BA42" w:rsidR="006F25B3" w:rsidRPr="006F25B3" w:rsidRDefault="006F25B3" w:rsidP="00CA59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SKUPINA</w:t>
            </w:r>
          </w:p>
          <w:p w14:paraId="211F5E02" w14:textId="77777777" w:rsidR="006F25B3" w:rsidRPr="006F25B3" w:rsidRDefault="006F25B3" w:rsidP="00FF58B0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B664260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IZVOR</w:t>
            </w:r>
          </w:p>
          <w:p w14:paraId="2D0D39F0" w14:textId="77777777" w:rsidR="006F25B3" w:rsidRPr="006F25B3" w:rsidRDefault="006F25B3" w:rsidP="00FF58B0">
            <w:pPr>
              <w:ind w:left="-7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81" w:type="dxa"/>
          </w:tcPr>
          <w:p w14:paraId="6F747697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NAZIV PRIHODA</w:t>
            </w:r>
          </w:p>
          <w:p w14:paraId="61F666DB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88" w:type="dxa"/>
          </w:tcPr>
          <w:p w14:paraId="44D4BDE5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PLAN ZA 2025.</w:t>
            </w:r>
          </w:p>
          <w:p w14:paraId="3085C7F8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14:paraId="17553D67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POVEĆANJE/</w:t>
            </w:r>
          </w:p>
          <w:p w14:paraId="660A2F1C" w14:textId="24B6AD51" w:rsidR="006F25B3" w:rsidRPr="006F25B3" w:rsidRDefault="006F25B3" w:rsidP="005340E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SMANJENJE</w:t>
            </w:r>
          </w:p>
        </w:tc>
        <w:tc>
          <w:tcPr>
            <w:tcW w:w="1701" w:type="dxa"/>
          </w:tcPr>
          <w:p w14:paraId="2FBE2ED2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NOVI PLAN</w:t>
            </w:r>
          </w:p>
          <w:p w14:paraId="2E170C7A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ZA 2025.</w:t>
            </w:r>
          </w:p>
        </w:tc>
        <w:tc>
          <w:tcPr>
            <w:tcW w:w="993" w:type="dxa"/>
          </w:tcPr>
          <w:p w14:paraId="45466429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INDEKS</w:t>
            </w:r>
          </w:p>
          <w:p w14:paraId="387D4971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F25B3" w:rsidRPr="006F25B3" w14:paraId="62DDA3ED" w14:textId="77777777" w:rsidTr="0009116D">
        <w:trPr>
          <w:trHeight w:val="20"/>
        </w:trPr>
        <w:tc>
          <w:tcPr>
            <w:tcW w:w="597" w:type="dxa"/>
          </w:tcPr>
          <w:p w14:paraId="413FE021" w14:textId="77777777" w:rsidR="006F25B3" w:rsidRPr="006F25B3" w:rsidRDefault="006F25B3" w:rsidP="006F25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  <w:p w14:paraId="4A862C6D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86334A8" w14:textId="77777777" w:rsidR="006F25B3" w:rsidRPr="006F25B3" w:rsidRDefault="006F25B3" w:rsidP="00737D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0E7C974" w14:textId="77777777" w:rsidR="006F25B3" w:rsidRPr="006F25B3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728385D" w14:textId="77777777" w:rsidR="006F25B3" w:rsidRPr="006F25B3" w:rsidRDefault="006F25B3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071DBA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81" w:type="dxa"/>
          </w:tcPr>
          <w:p w14:paraId="04539157" w14:textId="4A3671E8" w:rsidR="006F25B3" w:rsidRPr="006F25B3" w:rsidRDefault="006F25B3" w:rsidP="00CA594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sz w:val="16"/>
                <w:szCs w:val="16"/>
              </w:rPr>
              <w:t>PRIHODI POSLOVANJA</w:t>
            </w:r>
          </w:p>
        </w:tc>
        <w:tc>
          <w:tcPr>
            <w:tcW w:w="1588" w:type="dxa"/>
          </w:tcPr>
          <w:p w14:paraId="098F36EC" w14:textId="784588C1" w:rsidR="006F25B3" w:rsidRPr="006F25B3" w:rsidRDefault="00C86C01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1.472.283,00</w:t>
            </w:r>
          </w:p>
        </w:tc>
        <w:tc>
          <w:tcPr>
            <w:tcW w:w="1417" w:type="dxa"/>
          </w:tcPr>
          <w:p w14:paraId="2201F794" w14:textId="1F466F8C" w:rsidR="006F25B3" w:rsidRPr="006F25B3" w:rsidRDefault="00C86C01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400,00</w:t>
            </w:r>
          </w:p>
        </w:tc>
        <w:tc>
          <w:tcPr>
            <w:tcW w:w="1701" w:type="dxa"/>
          </w:tcPr>
          <w:p w14:paraId="17D0BCE0" w14:textId="49280A07" w:rsidR="006F25B3" w:rsidRPr="006F25B3" w:rsidRDefault="00C86C01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1.472.683,00</w:t>
            </w:r>
          </w:p>
        </w:tc>
        <w:tc>
          <w:tcPr>
            <w:tcW w:w="993" w:type="dxa"/>
          </w:tcPr>
          <w:p w14:paraId="6AC6ACBC" w14:textId="6200E22B" w:rsidR="006F25B3" w:rsidRPr="006F25B3" w:rsidRDefault="00C86C01" w:rsidP="00737D1D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</w:tr>
      <w:tr w:rsidR="00CA594D" w:rsidRPr="006F25B3" w14:paraId="4A221322" w14:textId="77777777" w:rsidTr="0009116D">
        <w:trPr>
          <w:trHeight w:val="20"/>
        </w:trPr>
        <w:tc>
          <w:tcPr>
            <w:tcW w:w="597" w:type="dxa"/>
          </w:tcPr>
          <w:p w14:paraId="670ECD7E" w14:textId="77777777" w:rsidR="00CA594D" w:rsidRPr="006F25B3" w:rsidRDefault="00CA594D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DEE35BD" w14:textId="220B3878" w:rsidR="00CA594D" w:rsidRPr="007F39F8" w:rsidRDefault="00CA594D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14:paraId="76905AC4" w14:textId="62736EF2" w:rsidR="00CA594D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55</w:t>
            </w:r>
          </w:p>
        </w:tc>
        <w:tc>
          <w:tcPr>
            <w:tcW w:w="2381" w:type="dxa"/>
          </w:tcPr>
          <w:p w14:paraId="1AF6F982" w14:textId="78E547E3" w:rsidR="00CA594D" w:rsidRPr="007F39F8" w:rsidRDefault="00CA594D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Pomoći iz inozemstva i od subjekata unutar općeg proračuna</w:t>
            </w:r>
          </w:p>
        </w:tc>
        <w:tc>
          <w:tcPr>
            <w:tcW w:w="1588" w:type="dxa"/>
          </w:tcPr>
          <w:p w14:paraId="0FCE9DB6" w14:textId="781B8A5A" w:rsidR="00CA594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1.356.391,00</w:t>
            </w:r>
          </w:p>
        </w:tc>
        <w:tc>
          <w:tcPr>
            <w:tcW w:w="1417" w:type="dxa"/>
          </w:tcPr>
          <w:p w14:paraId="04850C6A" w14:textId="1FF20362" w:rsidR="00CA594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400,00</w:t>
            </w:r>
          </w:p>
        </w:tc>
        <w:tc>
          <w:tcPr>
            <w:tcW w:w="1701" w:type="dxa"/>
          </w:tcPr>
          <w:p w14:paraId="7F39E1F2" w14:textId="078322F8" w:rsidR="00CA594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1.356.791,00</w:t>
            </w:r>
          </w:p>
        </w:tc>
        <w:tc>
          <w:tcPr>
            <w:tcW w:w="993" w:type="dxa"/>
          </w:tcPr>
          <w:p w14:paraId="6A9DFDE4" w14:textId="0DDBA719" w:rsidR="00CA594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6F25B3" w:rsidRPr="006F25B3" w14:paraId="49692E15" w14:textId="77777777" w:rsidTr="0009116D">
        <w:trPr>
          <w:trHeight w:val="20"/>
        </w:trPr>
        <w:tc>
          <w:tcPr>
            <w:tcW w:w="597" w:type="dxa"/>
          </w:tcPr>
          <w:p w14:paraId="6BE6B035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C02DDCA" w14:textId="77777777" w:rsidR="006F25B3" w:rsidRPr="007F39F8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64</w:t>
            </w:r>
          </w:p>
        </w:tc>
        <w:tc>
          <w:tcPr>
            <w:tcW w:w="851" w:type="dxa"/>
          </w:tcPr>
          <w:p w14:paraId="65033DA9" w14:textId="5A627468" w:rsidR="006F25B3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2381" w:type="dxa"/>
          </w:tcPr>
          <w:p w14:paraId="48616DD6" w14:textId="77777777" w:rsidR="006F25B3" w:rsidRPr="007F39F8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od imovine</w:t>
            </w:r>
          </w:p>
        </w:tc>
        <w:tc>
          <w:tcPr>
            <w:tcW w:w="1588" w:type="dxa"/>
          </w:tcPr>
          <w:p w14:paraId="5CBF84BB" w14:textId="69099085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100,00</w:t>
            </w:r>
          </w:p>
        </w:tc>
        <w:tc>
          <w:tcPr>
            <w:tcW w:w="1417" w:type="dxa"/>
          </w:tcPr>
          <w:p w14:paraId="3A53D98B" w14:textId="39C9A171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DCD7AA5" w14:textId="28813608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100,00</w:t>
            </w:r>
          </w:p>
        </w:tc>
        <w:tc>
          <w:tcPr>
            <w:tcW w:w="993" w:type="dxa"/>
          </w:tcPr>
          <w:p w14:paraId="0EE6DAEB" w14:textId="4E2E91E6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737D1D" w:rsidRPr="006F25B3" w14:paraId="131F6403" w14:textId="77777777" w:rsidTr="0009116D">
        <w:trPr>
          <w:trHeight w:val="20"/>
        </w:trPr>
        <w:tc>
          <w:tcPr>
            <w:tcW w:w="597" w:type="dxa"/>
          </w:tcPr>
          <w:p w14:paraId="2805E41F" w14:textId="77777777" w:rsidR="00737D1D" w:rsidRPr="006F25B3" w:rsidRDefault="00737D1D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50D46BE" w14:textId="2F2C3CAB" w:rsidR="00737D1D" w:rsidRPr="007F39F8" w:rsidRDefault="00737D1D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65</w:t>
            </w:r>
          </w:p>
        </w:tc>
        <w:tc>
          <w:tcPr>
            <w:tcW w:w="851" w:type="dxa"/>
          </w:tcPr>
          <w:p w14:paraId="695F9374" w14:textId="3144732D" w:rsidR="00737D1D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2381" w:type="dxa"/>
          </w:tcPr>
          <w:p w14:paraId="12A8BE55" w14:textId="7F1930DE" w:rsidR="00737D1D" w:rsidRPr="007F39F8" w:rsidRDefault="00737D1D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od upravnih i administrativnih pristojbi, pristojbi po posebnim propisima</w:t>
            </w:r>
          </w:p>
        </w:tc>
        <w:tc>
          <w:tcPr>
            <w:tcW w:w="1588" w:type="dxa"/>
          </w:tcPr>
          <w:p w14:paraId="6E9A79A6" w14:textId="0084A0B9" w:rsidR="00737D1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60.000,00</w:t>
            </w:r>
          </w:p>
        </w:tc>
        <w:tc>
          <w:tcPr>
            <w:tcW w:w="1417" w:type="dxa"/>
          </w:tcPr>
          <w:p w14:paraId="3739CD0A" w14:textId="76E175CF" w:rsidR="00737D1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3F7BDCAA" w14:textId="2B25E804" w:rsidR="00737D1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60.000,00</w:t>
            </w:r>
          </w:p>
        </w:tc>
        <w:tc>
          <w:tcPr>
            <w:tcW w:w="993" w:type="dxa"/>
          </w:tcPr>
          <w:p w14:paraId="0DCD2C0B" w14:textId="09C27D5C" w:rsidR="00737D1D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6F25B3" w:rsidRPr="006F25B3" w14:paraId="61704210" w14:textId="77777777" w:rsidTr="0009116D">
        <w:trPr>
          <w:trHeight w:val="20"/>
        </w:trPr>
        <w:tc>
          <w:tcPr>
            <w:tcW w:w="597" w:type="dxa"/>
          </w:tcPr>
          <w:p w14:paraId="371EF233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93E6273" w14:textId="77777777" w:rsidR="006F25B3" w:rsidRPr="007F39F8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66</w:t>
            </w:r>
          </w:p>
        </w:tc>
        <w:tc>
          <w:tcPr>
            <w:tcW w:w="851" w:type="dxa"/>
          </w:tcPr>
          <w:p w14:paraId="29539A0A" w14:textId="4813A9A3" w:rsidR="006F25B3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31</w:t>
            </w:r>
          </w:p>
        </w:tc>
        <w:tc>
          <w:tcPr>
            <w:tcW w:w="2381" w:type="dxa"/>
          </w:tcPr>
          <w:p w14:paraId="07493752" w14:textId="77777777" w:rsidR="006F25B3" w:rsidRPr="007F39F8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od prodaje proizvoda i robe</w:t>
            </w:r>
          </w:p>
        </w:tc>
        <w:tc>
          <w:tcPr>
            <w:tcW w:w="1588" w:type="dxa"/>
          </w:tcPr>
          <w:p w14:paraId="1EDBF56B" w14:textId="552ACAC7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6.000,00</w:t>
            </w:r>
          </w:p>
        </w:tc>
        <w:tc>
          <w:tcPr>
            <w:tcW w:w="1417" w:type="dxa"/>
          </w:tcPr>
          <w:p w14:paraId="7762DF49" w14:textId="6BCDAE98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271CF66C" w14:textId="6E3D94AB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6.000,00</w:t>
            </w:r>
          </w:p>
        </w:tc>
        <w:tc>
          <w:tcPr>
            <w:tcW w:w="993" w:type="dxa"/>
          </w:tcPr>
          <w:p w14:paraId="1D264D4D" w14:textId="6ADE7DA6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6F25B3" w:rsidRPr="006F25B3" w14:paraId="090C72C5" w14:textId="77777777" w:rsidTr="0009116D">
        <w:trPr>
          <w:trHeight w:val="20"/>
        </w:trPr>
        <w:tc>
          <w:tcPr>
            <w:tcW w:w="597" w:type="dxa"/>
          </w:tcPr>
          <w:p w14:paraId="1CB7AD09" w14:textId="77777777" w:rsidR="006F25B3" w:rsidRPr="006F25B3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4D75E705" w14:textId="77777777" w:rsidR="006F25B3" w:rsidRPr="007F39F8" w:rsidRDefault="006F25B3" w:rsidP="00737D1D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67</w:t>
            </w:r>
          </w:p>
        </w:tc>
        <w:tc>
          <w:tcPr>
            <w:tcW w:w="851" w:type="dxa"/>
          </w:tcPr>
          <w:p w14:paraId="26AB0557" w14:textId="77777777" w:rsidR="006F25B3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11</w:t>
            </w:r>
          </w:p>
          <w:p w14:paraId="3F2C7FDC" w14:textId="670D56C5" w:rsidR="00737D1D" w:rsidRPr="007F39F8" w:rsidRDefault="00737D1D" w:rsidP="007F39F8">
            <w:pPr>
              <w:ind w:left="-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381" w:type="dxa"/>
          </w:tcPr>
          <w:p w14:paraId="2931FAFB" w14:textId="77777777" w:rsidR="006F25B3" w:rsidRPr="007F39F8" w:rsidRDefault="006F25B3" w:rsidP="00FF58B0">
            <w:pPr>
              <w:ind w:left="-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F39F8">
              <w:rPr>
                <w:rFonts w:ascii="Times New Roman" w:hAnsi="Times New Roman" w:cs="Times New Roman"/>
                <w:bCs/>
                <w:sz w:val="16"/>
                <w:szCs w:val="16"/>
              </w:rPr>
              <w:t>Prihodi iz nadležnog proračuna</w:t>
            </w:r>
          </w:p>
        </w:tc>
        <w:tc>
          <w:tcPr>
            <w:tcW w:w="1588" w:type="dxa"/>
          </w:tcPr>
          <w:p w14:paraId="2203D7C2" w14:textId="77777777" w:rsidR="006F25B3" w:rsidRDefault="009C4030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3.987,00</w:t>
            </w:r>
          </w:p>
          <w:p w14:paraId="7D7643C6" w14:textId="30C6BC10" w:rsidR="009C4030" w:rsidRPr="007F39F8" w:rsidRDefault="009C4030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45.805,00</w:t>
            </w:r>
          </w:p>
        </w:tc>
        <w:tc>
          <w:tcPr>
            <w:tcW w:w="1417" w:type="dxa"/>
          </w:tcPr>
          <w:p w14:paraId="3D1305E8" w14:textId="32A7A1FB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</w:tcPr>
          <w:p w14:paraId="4219D101" w14:textId="77777777" w:rsidR="006F25B3" w:rsidRDefault="009C4030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3.987,00</w:t>
            </w:r>
          </w:p>
          <w:p w14:paraId="1DD65C3E" w14:textId="183A2B22" w:rsidR="009C4030" w:rsidRPr="007F39F8" w:rsidRDefault="009C4030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45.805,00</w:t>
            </w:r>
          </w:p>
        </w:tc>
        <w:tc>
          <w:tcPr>
            <w:tcW w:w="993" w:type="dxa"/>
          </w:tcPr>
          <w:p w14:paraId="439D6A86" w14:textId="7B9106F1" w:rsidR="006F25B3" w:rsidRPr="007F39F8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</w:tbl>
    <w:p w14:paraId="4A8C7AAE" w14:textId="77777777" w:rsidR="006F25B3" w:rsidRPr="006F25B3" w:rsidRDefault="006F25B3" w:rsidP="006F25B3">
      <w:pPr>
        <w:rPr>
          <w:rFonts w:ascii="Times New Roman" w:hAnsi="Times New Roman" w:cs="Times New Roman"/>
          <w:vanish/>
          <w:sz w:val="16"/>
          <w:szCs w:val="16"/>
        </w:rPr>
      </w:pP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1590"/>
        <w:gridCol w:w="1417"/>
        <w:gridCol w:w="1701"/>
        <w:gridCol w:w="993"/>
      </w:tblGrid>
      <w:tr w:rsidR="00312AF0" w:rsidRPr="006F25B3" w14:paraId="01B184C1" w14:textId="77777777" w:rsidTr="00D07DC6">
        <w:trPr>
          <w:trHeight w:val="565"/>
        </w:trPr>
        <w:tc>
          <w:tcPr>
            <w:tcW w:w="4535" w:type="dxa"/>
          </w:tcPr>
          <w:p w14:paraId="05345696" w14:textId="084495DF" w:rsidR="006F25B3" w:rsidRPr="00312AF0" w:rsidRDefault="006F25B3" w:rsidP="00312AF0">
            <w:pPr>
              <w:ind w:left="-7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F25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UKUPNI PRIHODI                 </w:t>
            </w:r>
          </w:p>
        </w:tc>
        <w:tc>
          <w:tcPr>
            <w:tcW w:w="1590" w:type="dxa"/>
          </w:tcPr>
          <w:p w14:paraId="135F5937" w14:textId="5B85EB79" w:rsidR="006F25B3" w:rsidRPr="006F25B3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1.472.283,00</w:t>
            </w:r>
          </w:p>
        </w:tc>
        <w:tc>
          <w:tcPr>
            <w:tcW w:w="1417" w:type="dxa"/>
          </w:tcPr>
          <w:p w14:paraId="1316D9E1" w14:textId="797333D9" w:rsidR="006F25B3" w:rsidRPr="006F25B3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1701" w:type="dxa"/>
          </w:tcPr>
          <w:p w14:paraId="24072C7A" w14:textId="1DE999CD" w:rsidR="006F25B3" w:rsidRPr="006F25B3" w:rsidRDefault="00C86C01" w:rsidP="00737D1D">
            <w:pPr>
              <w:ind w:left="-7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1.472.683,00</w:t>
            </w:r>
          </w:p>
        </w:tc>
        <w:tc>
          <w:tcPr>
            <w:tcW w:w="993" w:type="dxa"/>
          </w:tcPr>
          <w:p w14:paraId="7C3E6B91" w14:textId="075964A9" w:rsidR="006F25B3" w:rsidRPr="006F25B3" w:rsidRDefault="00C86C01" w:rsidP="00737D1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</w:tbl>
    <w:p w14:paraId="27C79941" w14:textId="23362DAF" w:rsidR="006F25B3" w:rsidRDefault="006F25B3" w:rsidP="00D83CFB">
      <w:pPr>
        <w:jc w:val="both"/>
        <w:rPr>
          <w:rFonts w:ascii="Times New Roman" w:hAnsi="Times New Roman" w:cs="Times New Roman"/>
        </w:rPr>
      </w:pPr>
    </w:p>
    <w:p w14:paraId="734D2E0C" w14:textId="7F6BFF14" w:rsidR="00CB3F7E" w:rsidRPr="00BB6966" w:rsidRDefault="000D4701" w:rsidP="00D83CFB">
      <w:pPr>
        <w:jc w:val="both"/>
        <w:rPr>
          <w:rFonts w:ascii="Times New Roman" w:hAnsi="Times New Roman" w:cs="Times New Roman"/>
        </w:rPr>
      </w:pPr>
      <w:r w:rsidRPr="00BB6966">
        <w:rPr>
          <w:rFonts w:ascii="Times New Roman" w:hAnsi="Times New Roman" w:cs="Times New Roman"/>
          <w:b/>
        </w:rPr>
        <w:t>Podskupina 63</w:t>
      </w:r>
      <w:r w:rsidR="005365C2" w:rsidRPr="00BB6966">
        <w:rPr>
          <w:rFonts w:ascii="Times New Roman" w:hAnsi="Times New Roman" w:cs="Times New Roman"/>
          <w:b/>
        </w:rPr>
        <w:t xml:space="preserve">- pomoći  </w:t>
      </w:r>
      <w:r w:rsidR="00CB3F7E" w:rsidRPr="00BB6966">
        <w:rPr>
          <w:rFonts w:ascii="Times New Roman" w:hAnsi="Times New Roman" w:cs="Times New Roman"/>
          <w:b/>
        </w:rPr>
        <w:t xml:space="preserve">proračunskim korisnicima iz proračuna koji im nije nadležan  </w:t>
      </w:r>
      <w:r w:rsidR="00CB3F7E" w:rsidRPr="00BB6966">
        <w:rPr>
          <w:rFonts w:ascii="Times New Roman" w:hAnsi="Times New Roman" w:cs="Times New Roman"/>
        </w:rPr>
        <w:t>bilježi</w:t>
      </w:r>
      <w:r w:rsidR="00CB3F7E" w:rsidRPr="00BB6966">
        <w:rPr>
          <w:rFonts w:ascii="Times New Roman" w:hAnsi="Times New Roman" w:cs="Times New Roman"/>
          <w:b/>
        </w:rPr>
        <w:t xml:space="preserve"> </w:t>
      </w:r>
      <w:r w:rsidR="00CB3F7E" w:rsidRPr="00BB6966">
        <w:rPr>
          <w:rFonts w:ascii="Times New Roman" w:hAnsi="Times New Roman" w:cs="Times New Roman"/>
        </w:rPr>
        <w:t>povećanje za</w:t>
      </w:r>
      <w:r w:rsidR="00CB3F7E" w:rsidRPr="00BB6966">
        <w:rPr>
          <w:rFonts w:ascii="Times New Roman" w:hAnsi="Times New Roman" w:cs="Times New Roman"/>
          <w:b/>
        </w:rPr>
        <w:t xml:space="preserve"> </w:t>
      </w:r>
      <w:r w:rsidR="00C86C01">
        <w:rPr>
          <w:rFonts w:ascii="Times New Roman" w:hAnsi="Times New Roman" w:cs="Times New Roman"/>
        </w:rPr>
        <w:t>400,00</w:t>
      </w:r>
      <w:r w:rsidR="00553BC3" w:rsidRPr="00BB6966">
        <w:rPr>
          <w:rFonts w:ascii="Times New Roman" w:hAnsi="Times New Roman" w:cs="Times New Roman"/>
        </w:rPr>
        <w:t xml:space="preserve"> eura</w:t>
      </w:r>
      <w:r w:rsidR="00D50319" w:rsidRPr="00BB6966">
        <w:rPr>
          <w:rFonts w:ascii="Times New Roman" w:hAnsi="Times New Roman" w:cs="Times New Roman"/>
        </w:rPr>
        <w:t xml:space="preserve"> </w:t>
      </w:r>
      <w:r w:rsidR="00CB3F7E" w:rsidRPr="00BB6966">
        <w:rPr>
          <w:rFonts w:ascii="Times New Roman" w:hAnsi="Times New Roman" w:cs="Times New Roman"/>
        </w:rPr>
        <w:t xml:space="preserve">tako da </w:t>
      </w:r>
      <w:r w:rsidR="00D07DC6">
        <w:rPr>
          <w:rFonts w:ascii="Times New Roman" w:hAnsi="Times New Roman" w:cs="Times New Roman"/>
        </w:rPr>
        <w:t>je</w:t>
      </w:r>
      <w:r w:rsidR="00457BC9" w:rsidRPr="00BB6966">
        <w:rPr>
          <w:rFonts w:ascii="Times New Roman" w:hAnsi="Times New Roman" w:cs="Times New Roman"/>
        </w:rPr>
        <w:t xml:space="preserve"> </w:t>
      </w:r>
      <w:r w:rsidR="00CB3F7E" w:rsidRPr="00BB6966">
        <w:rPr>
          <w:rFonts w:ascii="Times New Roman" w:hAnsi="Times New Roman" w:cs="Times New Roman"/>
        </w:rPr>
        <w:t>podskupina 636 ovim izmj</w:t>
      </w:r>
      <w:r w:rsidR="00390587" w:rsidRPr="00BB6966">
        <w:rPr>
          <w:rFonts w:ascii="Times New Roman" w:hAnsi="Times New Roman" w:cs="Times New Roman"/>
        </w:rPr>
        <w:t>enama pl</w:t>
      </w:r>
      <w:r w:rsidR="00361601" w:rsidRPr="00BB6966">
        <w:rPr>
          <w:rFonts w:ascii="Times New Roman" w:hAnsi="Times New Roman" w:cs="Times New Roman"/>
        </w:rPr>
        <w:t xml:space="preserve">anirana u iznosu od </w:t>
      </w:r>
      <w:r w:rsidR="00FA3795">
        <w:rPr>
          <w:rFonts w:ascii="Times New Roman" w:hAnsi="Times New Roman" w:cs="Times New Roman"/>
        </w:rPr>
        <w:t>1.356.</w:t>
      </w:r>
      <w:r w:rsidR="00C86C01">
        <w:rPr>
          <w:rFonts w:ascii="Times New Roman" w:hAnsi="Times New Roman" w:cs="Times New Roman"/>
        </w:rPr>
        <w:t>7</w:t>
      </w:r>
      <w:r w:rsidR="00FA3795">
        <w:rPr>
          <w:rFonts w:ascii="Times New Roman" w:hAnsi="Times New Roman" w:cs="Times New Roman"/>
        </w:rPr>
        <w:t>91,00</w:t>
      </w:r>
      <w:r w:rsidR="00553BC3" w:rsidRPr="00BB6966">
        <w:rPr>
          <w:rFonts w:ascii="Times New Roman" w:hAnsi="Times New Roman" w:cs="Times New Roman"/>
        </w:rPr>
        <w:t xml:space="preserve"> eura</w:t>
      </w:r>
    </w:p>
    <w:p w14:paraId="6E5A9670" w14:textId="77777777" w:rsidR="004B3C3F" w:rsidRDefault="00CB3F7E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Kada govorimo o tekućim pomoćim</w:t>
      </w:r>
      <w:r w:rsidR="00917F43">
        <w:rPr>
          <w:rFonts w:ascii="Times New Roman" w:hAnsi="Times New Roman" w:cs="Times New Roman"/>
        </w:rPr>
        <w:t>a (636</w:t>
      </w:r>
      <w:r w:rsidR="00EC1A78">
        <w:rPr>
          <w:rFonts w:ascii="Times New Roman" w:hAnsi="Times New Roman" w:cs="Times New Roman"/>
        </w:rPr>
        <w:t>) isti se planiraju za</w:t>
      </w:r>
      <w:r w:rsidR="00361601">
        <w:rPr>
          <w:rFonts w:ascii="Times New Roman" w:hAnsi="Times New Roman" w:cs="Times New Roman"/>
        </w:rPr>
        <w:t xml:space="preserve"> </w:t>
      </w:r>
      <w:r w:rsidR="00C86C01">
        <w:rPr>
          <w:rFonts w:ascii="Times New Roman" w:hAnsi="Times New Roman" w:cs="Times New Roman"/>
        </w:rPr>
        <w:t>400,00</w:t>
      </w:r>
      <w:r w:rsidR="00DC5C1C">
        <w:rPr>
          <w:rFonts w:ascii="Times New Roman" w:hAnsi="Times New Roman" w:cs="Times New Roman"/>
        </w:rPr>
        <w:t xml:space="preserve"> </w:t>
      </w:r>
      <w:r w:rsidR="00553BC3">
        <w:rPr>
          <w:rFonts w:ascii="Times New Roman" w:hAnsi="Times New Roman" w:cs="Times New Roman"/>
        </w:rPr>
        <w:t>eura</w:t>
      </w:r>
      <w:r w:rsidR="002E0899">
        <w:rPr>
          <w:rFonts w:ascii="Times New Roman" w:hAnsi="Times New Roman" w:cs="Times New Roman"/>
        </w:rPr>
        <w:t xml:space="preserve"> više u odnosu na prethodni</w:t>
      </w:r>
      <w:r>
        <w:rPr>
          <w:rFonts w:ascii="Times New Roman" w:hAnsi="Times New Roman" w:cs="Times New Roman"/>
        </w:rPr>
        <w:t xml:space="preserve"> plan. Unutar te podskupine </w:t>
      </w:r>
      <w:r w:rsidR="00781A9F">
        <w:rPr>
          <w:rFonts w:ascii="Times New Roman" w:hAnsi="Times New Roman" w:cs="Times New Roman"/>
        </w:rPr>
        <w:t>planiraju se plaće, ostali ras</w:t>
      </w:r>
      <w:r w:rsidR="00D50319">
        <w:rPr>
          <w:rFonts w:ascii="Times New Roman" w:hAnsi="Times New Roman" w:cs="Times New Roman"/>
        </w:rPr>
        <w:t xml:space="preserve">hodi i naknade za zaposlene </w:t>
      </w:r>
      <w:r w:rsidR="00781A9F">
        <w:rPr>
          <w:rFonts w:ascii="Times New Roman" w:hAnsi="Times New Roman" w:cs="Times New Roman"/>
        </w:rPr>
        <w:t>koj</w:t>
      </w:r>
      <w:r w:rsidR="00D3716C">
        <w:rPr>
          <w:rFonts w:ascii="Times New Roman" w:hAnsi="Times New Roman" w:cs="Times New Roman"/>
        </w:rPr>
        <w:t>i</w:t>
      </w:r>
      <w:r w:rsidR="00781A9F">
        <w:rPr>
          <w:rFonts w:ascii="Times New Roman" w:hAnsi="Times New Roman" w:cs="Times New Roman"/>
        </w:rPr>
        <w:t xml:space="preserve"> su osiguran</w:t>
      </w:r>
      <w:r w:rsidR="00D3716C">
        <w:rPr>
          <w:rFonts w:ascii="Times New Roman" w:hAnsi="Times New Roman" w:cs="Times New Roman"/>
        </w:rPr>
        <w:t>i</w:t>
      </w:r>
      <w:r w:rsidR="00781A9F">
        <w:rPr>
          <w:rFonts w:ascii="Times New Roman" w:hAnsi="Times New Roman" w:cs="Times New Roman"/>
        </w:rPr>
        <w:t xml:space="preserve"> kroz centralni obračun plaće i sredstva iz nenadležnih </w:t>
      </w:r>
      <w:r w:rsidR="00300097">
        <w:rPr>
          <w:rFonts w:ascii="Times New Roman" w:hAnsi="Times New Roman" w:cs="Times New Roman"/>
        </w:rPr>
        <w:t>proračuna. Planirano povećanje se odnosi</w:t>
      </w:r>
      <w:r w:rsidR="00C86C01">
        <w:rPr>
          <w:rFonts w:ascii="Times New Roman" w:hAnsi="Times New Roman" w:cs="Times New Roman"/>
        </w:rPr>
        <w:t xml:space="preserve"> nabavku stručne literature</w:t>
      </w:r>
      <w:r w:rsidR="00D465FD">
        <w:rPr>
          <w:rFonts w:ascii="Times New Roman" w:hAnsi="Times New Roman" w:cs="Times New Roman"/>
        </w:rPr>
        <w:t xml:space="preserve"> koje ćemo dobiti od Ministarstva kao kapitalna pomoć.</w:t>
      </w:r>
    </w:p>
    <w:p w14:paraId="76F4D913" w14:textId="7FB21849" w:rsidR="00781A9F" w:rsidRPr="004B3C3F" w:rsidRDefault="000D4701" w:rsidP="004B3C3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64</w:t>
      </w:r>
      <w:r w:rsidR="00781A9F" w:rsidRPr="00781A9F">
        <w:rPr>
          <w:rFonts w:ascii="Times New Roman" w:hAnsi="Times New Roman" w:cs="Times New Roman"/>
          <w:b/>
        </w:rPr>
        <w:t>- prihodi od financijske imovine</w:t>
      </w:r>
      <w:r w:rsidR="00781A9F">
        <w:rPr>
          <w:rFonts w:ascii="Times New Roman" w:hAnsi="Times New Roman" w:cs="Times New Roman"/>
        </w:rPr>
        <w:t xml:space="preserve"> ostaju </w:t>
      </w:r>
      <w:r w:rsidR="00553BC3">
        <w:rPr>
          <w:rFonts w:ascii="Times New Roman" w:hAnsi="Times New Roman" w:cs="Times New Roman"/>
        </w:rPr>
        <w:t>nepromijenjeni i iznose 1</w:t>
      </w:r>
      <w:r w:rsidR="00FA3795">
        <w:rPr>
          <w:rFonts w:ascii="Times New Roman" w:hAnsi="Times New Roman" w:cs="Times New Roman"/>
        </w:rPr>
        <w:t>00</w:t>
      </w:r>
      <w:r w:rsidR="00553BC3">
        <w:rPr>
          <w:rFonts w:ascii="Times New Roman" w:hAnsi="Times New Roman" w:cs="Times New Roman"/>
        </w:rPr>
        <w:t xml:space="preserve">,00 eura </w:t>
      </w:r>
    </w:p>
    <w:p w14:paraId="2A3895FB" w14:textId="2253E194" w:rsidR="00781A9F" w:rsidRDefault="004F5B8A" w:rsidP="004B3C3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65-prihodi po posebnim propisima </w:t>
      </w:r>
      <w:r w:rsidRPr="004F5B8A">
        <w:rPr>
          <w:rFonts w:ascii="Times New Roman" w:hAnsi="Times New Roman" w:cs="Times New Roman"/>
        </w:rPr>
        <w:t>ostaju nepro</w:t>
      </w:r>
      <w:r w:rsidR="00300097">
        <w:rPr>
          <w:rFonts w:ascii="Times New Roman" w:hAnsi="Times New Roman" w:cs="Times New Roman"/>
        </w:rPr>
        <w:t xml:space="preserve">mijenjeni i iznose </w:t>
      </w:r>
      <w:r w:rsidR="00FA3795">
        <w:rPr>
          <w:rFonts w:ascii="Times New Roman" w:hAnsi="Times New Roman" w:cs="Times New Roman"/>
        </w:rPr>
        <w:t>60.000,00</w:t>
      </w:r>
      <w:r w:rsidR="00553BC3">
        <w:rPr>
          <w:rFonts w:ascii="Times New Roman" w:hAnsi="Times New Roman" w:cs="Times New Roman"/>
        </w:rPr>
        <w:t xml:space="preserve"> eura </w:t>
      </w:r>
    </w:p>
    <w:p w14:paraId="57DE7D32" w14:textId="58A2EE73" w:rsidR="004F5B8A" w:rsidRDefault="000D4701" w:rsidP="004B3C3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66</w:t>
      </w:r>
      <w:r w:rsidR="004F5B8A" w:rsidRPr="004F5B8A">
        <w:rPr>
          <w:rFonts w:ascii="Times New Roman" w:hAnsi="Times New Roman" w:cs="Times New Roman"/>
          <w:b/>
        </w:rPr>
        <w:t>-prihodi od prodaje proizvoda i rabe te pruženih usluga</w:t>
      </w:r>
      <w:r w:rsidR="004F5B8A">
        <w:rPr>
          <w:rFonts w:ascii="Times New Roman" w:hAnsi="Times New Roman" w:cs="Times New Roman"/>
          <w:b/>
        </w:rPr>
        <w:t xml:space="preserve"> </w:t>
      </w:r>
      <w:r w:rsidR="004F5B8A">
        <w:rPr>
          <w:rFonts w:ascii="Times New Roman" w:hAnsi="Times New Roman" w:cs="Times New Roman"/>
        </w:rPr>
        <w:t>o</w:t>
      </w:r>
      <w:r w:rsidR="00300097">
        <w:rPr>
          <w:rFonts w:ascii="Times New Roman" w:hAnsi="Times New Roman" w:cs="Times New Roman"/>
        </w:rPr>
        <w:t>st</w:t>
      </w:r>
      <w:r w:rsidR="00553BC3">
        <w:rPr>
          <w:rFonts w:ascii="Times New Roman" w:hAnsi="Times New Roman" w:cs="Times New Roman"/>
        </w:rPr>
        <w:t xml:space="preserve">aju nepromijenjeni i iznose </w:t>
      </w:r>
      <w:r w:rsidR="00DC5C1C">
        <w:rPr>
          <w:rFonts w:ascii="Times New Roman" w:hAnsi="Times New Roman" w:cs="Times New Roman"/>
        </w:rPr>
        <w:t>6.000,00</w:t>
      </w:r>
      <w:r w:rsidR="00553BC3">
        <w:rPr>
          <w:rFonts w:ascii="Times New Roman" w:hAnsi="Times New Roman" w:cs="Times New Roman"/>
        </w:rPr>
        <w:t xml:space="preserve"> eura</w:t>
      </w:r>
    </w:p>
    <w:p w14:paraId="7DD842B9" w14:textId="4E848B84" w:rsidR="00F652DE" w:rsidRDefault="000D4701" w:rsidP="00D83C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Podskupina 67</w:t>
      </w:r>
      <w:r w:rsidR="004F5B8A" w:rsidRPr="004F5B8A">
        <w:rPr>
          <w:rFonts w:ascii="Times New Roman" w:hAnsi="Times New Roman" w:cs="Times New Roman"/>
          <w:b/>
        </w:rPr>
        <w:t xml:space="preserve"> prihodi iz nadležnog proračuna za financiranje redovne djelatnosti proračunskih korisnika</w:t>
      </w:r>
      <w:r w:rsidR="004F5B8A">
        <w:rPr>
          <w:rFonts w:ascii="Times New Roman" w:hAnsi="Times New Roman" w:cs="Times New Roman"/>
          <w:b/>
        </w:rPr>
        <w:t xml:space="preserve">, </w:t>
      </w:r>
      <w:r w:rsidR="004F5B8A" w:rsidRPr="004F5B8A">
        <w:rPr>
          <w:rFonts w:ascii="Times New Roman" w:hAnsi="Times New Roman" w:cs="Times New Roman"/>
        </w:rPr>
        <w:t>uključuju</w:t>
      </w:r>
      <w:r w:rsidR="004F5B8A">
        <w:rPr>
          <w:rFonts w:ascii="Times New Roman" w:hAnsi="Times New Roman" w:cs="Times New Roman"/>
        </w:rPr>
        <w:t xml:space="preserve"> prihod od decentraliziranih sredstava (671), opći prihodi i primici izvor (1</w:t>
      </w:r>
      <w:r w:rsidR="00FA3795">
        <w:rPr>
          <w:rFonts w:ascii="Times New Roman" w:hAnsi="Times New Roman" w:cs="Times New Roman"/>
        </w:rPr>
        <w:t>2</w:t>
      </w:r>
      <w:r w:rsidR="00FF4A64">
        <w:rPr>
          <w:rFonts w:ascii="Times New Roman" w:hAnsi="Times New Roman" w:cs="Times New Roman"/>
        </w:rPr>
        <w:t>,51</w:t>
      </w:r>
      <w:r w:rsidR="004F5B8A">
        <w:rPr>
          <w:rFonts w:ascii="Times New Roman" w:hAnsi="Times New Roman" w:cs="Times New Roman"/>
        </w:rPr>
        <w:t>) i prihod od Grada Koprivni</w:t>
      </w:r>
      <w:r w:rsidR="00506F35">
        <w:rPr>
          <w:rFonts w:ascii="Times New Roman" w:hAnsi="Times New Roman" w:cs="Times New Roman"/>
        </w:rPr>
        <w:t>ce izvor (1</w:t>
      </w:r>
      <w:r w:rsidR="00FA3795">
        <w:rPr>
          <w:rFonts w:ascii="Times New Roman" w:hAnsi="Times New Roman" w:cs="Times New Roman"/>
        </w:rPr>
        <w:t>1</w:t>
      </w:r>
      <w:r w:rsidR="00506F35">
        <w:rPr>
          <w:rFonts w:ascii="Times New Roman" w:hAnsi="Times New Roman" w:cs="Times New Roman"/>
        </w:rPr>
        <w:t>).</w:t>
      </w:r>
      <w:r w:rsidR="00FA3795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>Prihodi</w:t>
      </w:r>
      <w:r w:rsidR="00D465FD">
        <w:rPr>
          <w:rFonts w:ascii="Times New Roman" w:hAnsi="Times New Roman" w:cs="Times New Roman"/>
        </w:rPr>
        <w:t xml:space="preserve"> ostaju nepromijenjeni jer uputom nije dozvoljeno njihovo povećanje. </w:t>
      </w:r>
    </w:p>
    <w:p w14:paraId="6C84BB20" w14:textId="2E893EC6" w:rsidR="00EE0DAE" w:rsidRDefault="00EE0DAE" w:rsidP="00D83CFB">
      <w:pPr>
        <w:jc w:val="both"/>
        <w:rPr>
          <w:rFonts w:ascii="Times New Roman" w:hAnsi="Times New Roman" w:cs="Times New Roman"/>
          <w:b/>
          <w:bCs/>
        </w:rPr>
      </w:pPr>
      <w:r w:rsidRPr="00B238DC">
        <w:rPr>
          <w:rFonts w:ascii="Times New Roman" w:hAnsi="Times New Roman" w:cs="Times New Roman"/>
          <w:b/>
          <w:bCs/>
        </w:rPr>
        <w:t>RASHODI:</w:t>
      </w:r>
    </w:p>
    <w:p w14:paraId="2238D8A7" w14:textId="1A646EFF" w:rsidR="00446F4D" w:rsidRDefault="00446F4D" w:rsidP="008542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D465F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izmjenama i dopunama Financijskog plana Umjetničke škole Fortunat Pintarić planiraju se rashodi poslovanja u ukupnom iznosu od 1.780.</w:t>
      </w:r>
      <w:r w:rsidR="00D465F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31,00 eura što je povećanje za </w:t>
      </w:r>
      <w:r w:rsidR="00D465FD">
        <w:rPr>
          <w:rFonts w:ascii="Times New Roman" w:hAnsi="Times New Roman" w:cs="Times New Roman"/>
        </w:rPr>
        <w:t>400</w:t>
      </w:r>
      <w:r>
        <w:rPr>
          <w:rFonts w:ascii="Times New Roman" w:hAnsi="Times New Roman" w:cs="Times New Roman"/>
        </w:rPr>
        <w:t xml:space="preserve">,00 eura u odnosu na </w:t>
      </w:r>
      <w:r w:rsidR="004B3C3F">
        <w:rPr>
          <w:rFonts w:ascii="Times New Roman" w:hAnsi="Times New Roman" w:cs="Times New Roman"/>
        </w:rPr>
        <w:t>I. izmjene i dopune Financijskog plana</w:t>
      </w:r>
      <w:r>
        <w:rPr>
          <w:rFonts w:ascii="Times New Roman" w:hAnsi="Times New Roman" w:cs="Times New Roman"/>
        </w:rPr>
        <w:t>.</w:t>
      </w:r>
    </w:p>
    <w:p w14:paraId="7550FF8C" w14:textId="498C30CC" w:rsidR="00563281" w:rsidRPr="00563281" w:rsidRDefault="00446F4D" w:rsidP="00446F4D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</w:t>
      </w:r>
      <w:r w:rsidR="00563281" w:rsidRPr="00563281">
        <w:rPr>
          <w:rFonts w:ascii="Times New Roman" w:hAnsi="Times New Roman" w:cs="Times New Roman"/>
        </w:rPr>
        <w:t>vim Rebalansom plana obuhvaćene su nužne promjene planskih iznosa koje proizlaze iz dosadašnjeg tijeka izvršavanja plana i procjene ostvarenja u daljnjem tijeku godine.</w:t>
      </w:r>
    </w:p>
    <w:p w14:paraId="2A87A8F1" w14:textId="77777777" w:rsidR="00563281" w:rsidRPr="00563281" w:rsidRDefault="00563281" w:rsidP="00446F4D">
      <w:pPr>
        <w:pStyle w:val="Bezproreda"/>
        <w:rPr>
          <w:rFonts w:ascii="Times New Roman" w:hAnsi="Times New Roman" w:cs="Times New Roman"/>
        </w:rPr>
      </w:pPr>
      <w:r w:rsidRPr="00563281">
        <w:rPr>
          <w:rFonts w:ascii="Times New Roman" w:hAnsi="Times New Roman" w:cs="Times New Roman"/>
        </w:rPr>
        <w:t>U nastavku se daje prikaz promjena na osnovnim skupinama rashoda u odnosu na tekući plan.</w:t>
      </w:r>
    </w:p>
    <w:p w14:paraId="1761CE08" w14:textId="77777777" w:rsidR="00563281" w:rsidRDefault="00563281" w:rsidP="00446F4D">
      <w:pPr>
        <w:spacing w:after="0"/>
        <w:jc w:val="both"/>
        <w:rPr>
          <w:rFonts w:ascii="Times New Roman" w:hAnsi="Times New Roman" w:cs="Times New Roman"/>
          <w:b/>
          <w:bCs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021"/>
        <w:gridCol w:w="2410"/>
        <w:gridCol w:w="1701"/>
        <w:gridCol w:w="1701"/>
        <w:gridCol w:w="1701"/>
        <w:gridCol w:w="850"/>
      </w:tblGrid>
      <w:tr w:rsidR="00446F4D" w:rsidRPr="00A75682" w14:paraId="6A1368F4" w14:textId="77777777" w:rsidTr="00446F4D">
        <w:trPr>
          <w:trHeight w:val="45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9045" w14:textId="451F1016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6A0D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SKUPINA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E261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NAZIV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7249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PLAN ZA 2025.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4C90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POVEĆANJE/</w:t>
            </w:r>
          </w:p>
          <w:p w14:paraId="4EFAF552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SMANJENJE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FCC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NOVI PLAN ZA 2025.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52E4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48CDFF" w14:textId="77777777" w:rsidR="00446F4D" w:rsidRPr="00563281" w:rsidRDefault="00446F4D" w:rsidP="00FF58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INDEKS</w:t>
            </w:r>
          </w:p>
        </w:tc>
      </w:tr>
      <w:tr w:rsidR="00446F4D" w:rsidRPr="00A75682" w14:paraId="76663EEA" w14:textId="77777777" w:rsidTr="004B3C3F">
        <w:trPr>
          <w:trHeight w:val="38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5720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0B1E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8328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Rashodi poslovanja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58F" w14:textId="293E4702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1.675.531,00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220" w14:textId="5A3C5B9B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-26.000,00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F1CA" w14:textId="64E39FCF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1.649.531,00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95E4" w14:textId="672FFF8B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</w:t>
            </w:r>
          </w:p>
        </w:tc>
      </w:tr>
      <w:tr w:rsidR="00446F4D" w:rsidRPr="00A75682" w14:paraId="3AE62BE4" w14:textId="77777777" w:rsidTr="004B3C3F">
        <w:trPr>
          <w:trHeight w:val="43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5E4D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96EC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40E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Rashodi za zaposlene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4026" w14:textId="2D6CF054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1.253.618,00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BB15" w14:textId="77E28CD7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1594" w14:textId="790110E8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1.253.618,00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BFD5" w14:textId="4918709D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</w:tr>
      <w:tr w:rsidR="00446F4D" w:rsidRPr="00A75682" w14:paraId="5527B705" w14:textId="77777777" w:rsidTr="004B3C3F">
        <w:trPr>
          <w:trHeight w:val="3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97AE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BD7C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E57F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1F43" w14:textId="29BF0883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421.150,00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3D5D" w14:textId="58AE14FE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-26.000,00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B1B" w14:textId="50036A29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395.150,00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B5A2" w14:textId="31FB2F3A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</w:t>
            </w:r>
          </w:p>
        </w:tc>
      </w:tr>
      <w:tr w:rsidR="00446F4D" w:rsidRPr="00A75682" w14:paraId="310415D1" w14:textId="77777777" w:rsidTr="004B3C3F">
        <w:trPr>
          <w:trHeight w:val="244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0E9F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DD27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DF81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Financijski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32C1" w14:textId="122E58C5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763,00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D640" w14:textId="227644C8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41AC" w14:textId="2885EF19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36F5" w14:textId="03568D5F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</w:p>
        </w:tc>
      </w:tr>
      <w:tr w:rsidR="00446F4D" w:rsidRPr="00A75682" w14:paraId="3B4DDA71" w14:textId="77777777" w:rsidTr="00862DD2">
        <w:trPr>
          <w:trHeight w:val="39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C5C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28A1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43D1" w14:textId="3483D39B" w:rsidR="00862DD2" w:rsidRPr="00563281" w:rsidRDefault="00446F4D" w:rsidP="00862D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Rashodi za nabavu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5942" w14:textId="0AF0A6B2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F286" w14:textId="72221019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26.400,00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C556" w14:textId="2328CCDE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131.400,00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591A" w14:textId="6DC1E62B" w:rsidR="00446F4D" w:rsidRPr="00563281" w:rsidRDefault="00D465F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</w:p>
        </w:tc>
      </w:tr>
      <w:tr w:rsidR="00446F4D" w:rsidRPr="00A75682" w14:paraId="372454B2" w14:textId="77777777" w:rsidTr="004B3C3F">
        <w:trPr>
          <w:trHeight w:val="4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EA09" w14:textId="77777777" w:rsidR="00446F4D" w:rsidRPr="00563281" w:rsidRDefault="00446F4D" w:rsidP="00FF58B0">
            <w:pPr>
              <w:ind w:left="7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229B" w14:textId="77777777" w:rsidR="00446F4D" w:rsidRPr="00563281" w:rsidRDefault="00446F4D" w:rsidP="00FF58B0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C0DD" w14:textId="7777777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Cs/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C311" w14:textId="105E4568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226A" w14:textId="4CFFDF13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26.400,00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220A" w14:textId="36473AAF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131.400,00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91D5" w14:textId="0A069ED9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125</w:t>
            </w:r>
          </w:p>
        </w:tc>
      </w:tr>
      <w:tr w:rsidR="00446F4D" w:rsidRPr="00A75682" w14:paraId="1B70FD51" w14:textId="77777777" w:rsidTr="00446F4D">
        <w:trPr>
          <w:trHeight w:val="35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628" w14:textId="07D9E85E" w:rsidR="00446F4D" w:rsidRPr="00563281" w:rsidRDefault="00446F4D" w:rsidP="00446F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63281">
              <w:rPr>
                <w:rFonts w:ascii="Times New Roman" w:hAnsi="Times New Roman" w:cs="Times New Roman"/>
                <w:b/>
                <w:sz w:val="16"/>
                <w:szCs w:val="16"/>
              </w:rPr>
              <w:t>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34E0" w14:textId="2D7074E7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1.780.531,00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65FD" w14:textId="24CF7934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9B56" w14:textId="30B090D0" w:rsidR="00446F4D" w:rsidRPr="00563281" w:rsidRDefault="00C74BB6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1.780,931,00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18D2" w14:textId="226F71B7" w:rsidR="00446F4D" w:rsidRPr="00563281" w:rsidRDefault="00446F4D" w:rsidP="00FF58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B0BA7A5" w14:textId="140E727B" w:rsidR="009A6638" w:rsidRDefault="009A6638" w:rsidP="00D83CFB">
      <w:pPr>
        <w:jc w:val="both"/>
        <w:rPr>
          <w:rFonts w:ascii="Times New Roman" w:hAnsi="Times New Roman" w:cs="Times New Roman"/>
        </w:rPr>
      </w:pPr>
    </w:p>
    <w:p w14:paraId="75713440" w14:textId="77777777" w:rsidR="00446F4D" w:rsidRDefault="000D4701" w:rsidP="00862D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31 rashodi za zaposlene </w:t>
      </w:r>
      <w:r>
        <w:rPr>
          <w:rFonts w:ascii="Times New Roman" w:hAnsi="Times New Roman" w:cs="Times New Roman"/>
        </w:rPr>
        <w:t xml:space="preserve">planirani </w:t>
      </w:r>
      <w:r w:rsidR="00EE0DAE" w:rsidRPr="00EE0DAE">
        <w:rPr>
          <w:rFonts w:ascii="Times New Roman" w:hAnsi="Times New Roman" w:cs="Times New Roman"/>
        </w:rPr>
        <w:t>su</w:t>
      </w:r>
      <w:r w:rsidR="00EE0DAE">
        <w:rPr>
          <w:rFonts w:ascii="Times New Roman" w:hAnsi="Times New Roman" w:cs="Times New Roman"/>
          <w:b/>
        </w:rPr>
        <w:t xml:space="preserve"> </w:t>
      </w:r>
      <w:r w:rsidR="00EE0DAE" w:rsidRPr="00EE0DAE">
        <w:rPr>
          <w:rFonts w:ascii="Times New Roman" w:hAnsi="Times New Roman" w:cs="Times New Roman"/>
        </w:rPr>
        <w:t>u iznosu od</w:t>
      </w:r>
      <w:r w:rsidR="00C2270E">
        <w:rPr>
          <w:rFonts w:ascii="Times New Roman" w:hAnsi="Times New Roman" w:cs="Times New Roman"/>
        </w:rPr>
        <w:t xml:space="preserve"> 1.253.618,00 </w:t>
      </w:r>
      <w:r w:rsidR="00553BC3">
        <w:rPr>
          <w:rFonts w:ascii="Times New Roman" w:hAnsi="Times New Roman" w:cs="Times New Roman"/>
        </w:rPr>
        <w:t>eura</w:t>
      </w:r>
      <w:r w:rsidR="00457BC9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>i</w:t>
      </w:r>
      <w:r w:rsidR="00BB6966">
        <w:rPr>
          <w:rFonts w:ascii="Times New Roman" w:hAnsi="Times New Roman" w:cs="Times New Roman"/>
        </w:rPr>
        <w:t xml:space="preserve"> ostaju neprom</w:t>
      </w:r>
      <w:r w:rsidR="00210017">
        <w:rPr>
          <w:rFonts w:ascii="Times New Roman" w:hAnsi="Times New Roman" w:cs="Times New Roman"/>
        </w:rPr>
        <w:t>i</w:t>
      </w:r>
      <w:r w:rsidR="00BB6966">
        <w:rPr>
          <w:rFonts w:ascii="Times New Roman" w:hAnsi="Times New Roman" w:cs="Times New Roman"/>
        </w:rPr>
        <w:t>jenj</w:t>
      </w:r>
      <w:r w:rsidR="00210017">
        <w:rPr>
          <w:rFonts w:ascii="Times New Roman" w:hAnsi="Times New Roman" w:cs="Times New Roman"/>
        </w:rPr>
        <w:t>eni</w:t>
      </w:r>
      <w:r w:rsidR="00446F4D">
        <w:rPr>
          <w:rFonts w:ascii="Times New Roman" w:hAnsi="Times New Roman" w:cs="Times New Roman"/>
        </w:rPr>
        <w:t>.</w:t>
      </w:r>
    </w:p>
    <w:p w14:paraId="38E9543E" w14:textId="602424BE" w:rsidR="00446F4D" w:rsidRPr="00446F4D" w:rsidRDefault="00446F4D" w:rsidP="00862DD2">
      <w:pPr>
        <w:spacing w:after="0"/>
        <w:jc w:val="both"/>
        <w:rPr>
          <w:rFonts w:ascii="Times New Roman" w:hAnsi="Times New Roman" w:cs="Times New Roman"/>
        </w:rPr>
      </w:pPr>
      <w:r w:rsidRPr="00446F4D">
        <w:rPr>
          <w:rFonts w:ascii="Times New Roman" w:hAnsi="Times New Roman" w:cs="Times New Roman"/>
        </w:rPr>
        <w:t>Navedeni rashodi obuhvaćaju bruto plaće, doprinose na plaće</w:t>
      </w:r>
      <w:r w:rsidR="00F96B6A">
        <w:rPr>
          <w:rFonts w:ascii="Times New Roman" w:hAnsi="Times New Roman" w:cs="Times New Roman"/>
        </w:rPr>
        <w:t>,</w:t>
      </w:r>
      <w:r w:rsidRPr="00446F4D">
        <w:rPr>
          <w:rFonts w:ascii="Times New Roman" w:hAnsi="Times New Roman" w:cs="Times New Roman"/>
        </w:rPr>
        <w:t xml:space="preserve"> ostale rashode </w:t>
      </w:r>
      <w:r w:rsidR="00F96B6A">
        <w:rPr>
          <w:rFonts w:ascii="Times New Roman" w:hAnsi="Times New Roman" w:cs="Times New Roman"/>
        </w:rPr>
        <w:t xml:space="preserve">i materijalna prava </w:t>
      </w:r>
      <w:r w:rsidRPr="00446F4D">
        <w:rPr>
          <w:rFonts w:ascii="Times New Roman" w:hAnsi="Times New Roman" w:cs="Times New Roman"/>
        </w:rPr>
        <w:t xml:space="preserve">za zaposlenika koji se isplaćuju prema </w:t>
      </w:r>
      <w:r>
        <w:rPr>
          <w:rFonts w:ascii="Times New Roman" w:hAnsi="Times New Roman" w:cs="Times New Roman"/>
        </w:rPr>
        <w:t>Ugovorenim pravima za djelatnike zaposlene u javnim službama.</w:t>
      </w:r>
    </w:p>
    <w:p w14:paraId="1CBDBD31" w14:textId="5F06EE05" w:rsidR="00EE0DAE" w:rsidRDefault="000D4701" w:rsidP="00862D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32 materijalni rashodi </w:t>
      </w:r>
      <w:r w:rsidR="00F5238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planirani</w:t>
      </w:r>
      <w:r w:rsidR="00F5238D" w:rsidRPr="00F5238D">
        <w:rPr>
          <w:rFonts w:ascii="Times New Roman" w:hAnsi="Times New Roman" w:cs="Times New Roman"/>
        </w:rPr>
        <w:t xml:space="preserve"> su u iznosu od</w:t>
      </w:r>
      <w:r w:rsidR="00F5238D">
        <w:rPr>
          <w:rFonts w:ascii="Times New Roman" w:hAnsi="Times New Roman" w:cs="Times New Roman"/>
        </w:rPr>
        <w:t xml:space="preserve"> </w:t>
      </w:r>
      <w:r w:rsidR="00C74BB6">
        <w:rPr>
          <w:rFonts w:ascii="Times New Roman" w:hAnsi="Times New Roman" w:cs="Times New Roman"/>
        </w:rPr>
        <w:t>421.150,00</w:t>
      </w:r>
      <w:r w:rsidR="00553BC3">
        <w:rPr>
          <w:rFonts w:ascii="Times New Roman" w:hAnsi="Times New Roman" w:cs="Times New Roman"/>
        </w:rPr>
        <w:t xml:space="preserve"> eura</w:t>
      </w:r>
      <w:r w:rsidR="00F523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 w:rsidR="00C74BB6">
        <w:rPr>
          <w:rFonts w:ascii="Times New Roman" w:hAnsi="Times New Roman" w:cs="Times New Roman"/>
        </w:rPr>
        <w:t>smanjuju</w:t>
      </w:r>
      <w:r w:rsidR="001F64BD">
        <w:rPr>
          <w:rFonts w:ascii="Times New Roman" w:hAnsi="Times New Roman" w:cs="Times New Roman"/>
        </w:rPr>
        <w:t xml:space="preserve"> se za </w:t>
      </w:r>
      <w:r w:rsidR="00C74BB6">
        <w:rPr>
          <w:rFonts w:ascii="Times New Roman" w:hAnsi="Times New Roman" w:cs="Times New Roman"/>
        </w:rPr>
        <w:t>-26.000,00</w:t>
      </w:r>
      <w:r w:rsidR="001F64BD">
        <w:rPr>
          <w:rFonts w:ascii="Times New Roman" w:hAnsi="Times New Roman" w:cs="Times New Roman"/>
        </w:rPr>
        <w:t xml:space="preserve"> eura </w:t>
      </w:r>
      <w:r w:rsidR="00210017">
        <w:rPr>
          <w:rFonts w:ascii="Times New Roman" w:hAnsi="Times New Roman" w:cs="Times New Roman"/>
        </w:rPr>
        <w:t xml:space="preserve">i iznose </w:t>
      </w:r>
      <w:r w:rsidR="00C74BB6">
        <w:rPr>
          <w:rFonts w:ascii="Times New Roman" w:hAnsi="Times New Roman" w:cs="Times New Roman"/>
        </w:rPr>
        <w:t>395.150,00</w:t>
      </w:r>
      <w:r w:rsidR="00210017">
        <w:rPr>
          <w:rFonts w:ascii="Times New Roman" w:hAnsi="Times New Roman" w:cs="Times New Roman"/>
        </w:rPr>
        <w:t xml:space="preserve"> eura</w:t>
      </w:r>
    </w:p>
    <w:p w14:paraId="0DF89CA8" w14:textId="560ECBA5" w:rsidR="00F96B6A" w:rsidRPr="00066B66" w:rsidRDefault="00F96B6A" w:rsidP="00862DD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Planirano</w:t>
      </w:r>
      <w:r w:rsidR="00C74BB6">
        <w:rPr>
          <w:rFonts w:ascii="Times New Roman" w:hAnsi="Times New Roman" w:cs="Times New Roman"/>
        </w:rPr>
        <w:t xml:space="preserve"> smanjenje</w:t>
      </w:r>
      <w:r>
        <w:rPr>
          <w:rFonts w:ascii="Times New Roman" w:hAnsi="Times New Roman" w:cs="Times New Roman"/>
        </w:rPr>
        <w:t xml:space="preserve"> na materijalnim rashodima se odnosi na </w:t>
      </w:r>
      <w:r w:rsidR="00C74BB6">
        <w:rPr>
          <w:rFonts w:ascii="Times New Roman" w:hAnsi="Times New Roman" w:cs="Times New Roman"/>
        </w:rPr>
        <w:t>smanjenje usluga za tekuće i investicijsko održavanje koje se ove godine neće realizirati.</w:t>
      </w:r>
    </w:p>
    <w:p w14:paraId="7C58DAC2" w14:textId="77777777" w:rsidR="00F96B6A" w:rsidRDefault="000D4701" w:rsidP="00862D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34 financijski rashodi </w:t>
      </w:r>
      <w:r w:rsidR="00ED6BE7">
        <w:rPr>
          <w:rFonts w:ascii="Times New Roman" w:hAnsi="Times New Roman" w:cs="Times New Roman"/>
          <w:b/>
        </w:rPr>
        <w:t xml:space="preserve"> </w:t>
      </w:r>
      <w:r w:rsidR="00EB6303">
        <w:rPr>
          <w:rFonts w:ascii="Times New Roman" w:hAnsi="Times New Roman" w:cs="Times New Roman"/>
        </w:rPr>
        <w:t xml:space="preserve">planirani su u iznosu od </w:t>
      </w:r>
      <w:r w:rsidR="00C2270E">
        <w:rPr>
          <w:rFonts w:ascii="Times New Roman" w:hAnsi="Times New Roman" w:cs="Times New Roman"/>
        </w:rPr>
        <w:t>763</w:t>
      </w:r>
      <w:r w:rsidR="00EB6303">
        <w:rPr>
          <w:rFonts w:ascii="Times New Roman" w:hAnsi="Times New Roman" w:cs="Times New Roman"/>
        </w:rPr>
        <w:t xml:space="preserve">,00 eura </w:t>
      </w:r>
      <w:r w:rsidR="00506F35">
        <w:rPr>
          <w:rFonts w:ascii="Times New Roman" w:hAnsi="Times New Roman" w:cs="Times New Roman"/>
        </w:rPr>
        <w:t>i</w:t>
      </w:r>
      <w:r w:rsidR="00C2270E">
        <w:rPr>
          <w:rFonts w:ascii="Times New Roman" w:hAnsi="Times New Roman" w:cs="Times New Roman"/>
        </w:rPr>
        <w:t xml:space="preserve"> ostaju nepromijenjeni</w:t>
      </w:r>
      <w:r w:rsidR="00F96B6A">
        <w:rPr>
          <w:rFonts w:ascii="Times New Roman" w:hAnsi="Times New Roman" w:cs="Times New Roman"/>
        </w:rPr>
        <w:t>.</w:t>
      </w:r>
    </w:p>
    <w:p w14:paraId="241D33C8" w14:textId="243F67B7" w:rsidR="00F96B6A" w:rsidRDefault="00F96B6A" w:rsidP="00862DD2">
      <w:pPr>
        <w:spacing w:after="0"/>
        <w:jc w:val="both"/>
        <w:rPr>
          <w:rFonts w:ascii="Times New Roman" w:hAnsi="Times New Roman" w:cs="Times New Roman"/>
        </w:rPr>
      </w:pPr>
      <w:r w:rsidRPr="00F96B6A">
        <w:rPr>
          <w:rFonts w:ascii="Times New Roman" w:hAnsi="Times New Roman" w:cs="Times New Roman"/>
          <w:bCs/>
          <w:iCs/>
        </w:rPr>
        <w:t>Navedeni rashodi odnose se na negativne tečajne razlike, zatezne kamate i ostale nespomenute rashode poslovanja.</w:t>
      </w:r>
    </w:p>
    <w:p w14:paraId="2F7A9E97" w14:textId="77777777" w:rsidR="00F96B6A" w:rsidRDefault="00F96B6A" w:rsidP="00862DD2">
      <w:pPr>
        <w:spacing w:after="0"/>
        <w:jc w:val="both"/>
        <w:rPr>
          <w:rFonts w:ascii="Times New Roman" w:hAnsi="Times New Roman" w:cs="Times New Roman"/>
        </w:rPr>
      </w:pPr>
    </w:p>
    <w:p w14:paraId="5753ADF9" w14:textId="573CD6C9" w:rsidR="00210017" w:rsidRDefault="00066B66" w:rsidP="00862D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Podskupina 42 rashodi za nabavu proizvedene dugotrajne imovine </w:t>
      </w:r>
      <w:r w:rsidRPr="00066B66">
        <w:rPr>
          <w:rFonts w:ascii="Times New Roman" w:hAnsi="Times New Roman" w:cs="Times New Roman"/>
        </w:rPr>
        <w:t xml:space="preserve">planirani su u iznosu od </w:t>
      </w:r>
      <w:r w:rsidR="00C74BB6">
        <w:rPr>
          <w:rFonts w:ascii="Times New Roman" w:hAnsi="Times New Roman" w:cs="Times New Roman"/>
        </w:rPr>
        <w:t>105</w:t>
      </w:r>
      <w:r w:rsidR="00C2270E">
        <w:rPr>
          <w:rFonts w:ascii="Times New Roman" w:hAnsi="Times New Roman" w:cs="Times New Roman"/>
        </w:rPr>
        <w:t>.000,00</w:t>
      </w:r>
      <w:r w:rsidR="00E27C1C">
        <w:rPr>
          <w:rFonts w:ascii="Times New Roman" w:hAnsi="Times New Roman" w:cs="Times New Roman"/>
        </w:rPr>
        <w:t xml:space="preserve"> </w:t>
      </w:r>
      <w:r w:rsidR="00506F35">
        <w:rPr>
          <w:rFonts w:ascii="Times New Roman" w:hAnsi="Times New Roman" w:cs="Times New Roman"/>
        </w:rPr>
        <w:t xml:space="preserve">eura i </w:t>
      </w:r>
      <w:r w:rsidR="00C2270E">
        <w:rPr>
          <w:rFonts w:ascii="Times New Roman" w:hAnsi="Times New Roman" w:cs="Times New Roman"/>
        </w:rPr>
        <w:t xml:space="preserve">povećavaju </w:t>
      </w:r>
      <w:r w:rsidR="00506F35">
        <w:rPr>
          <w:rFonts w:ascii="Times New Roman" w:hAnsi="Times New Roman" w:cs="Times New Roman"/>
        </w:rPr>
        <w:t xml:space="preserve">se za </w:t>
      </w:r>
      <w:r w:rsidR="00C74BB6">
        <w:rPr>
          <w:rFonts w:ascii="Times New Roman" w:hAnsi="Times New Roman" w:cs="Times New Roman"/>
        </w:rPr>
        <w:t>26.400,00</w:t>
      </w:r>
      <w:r w:rsidRPr="00066B66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BB6966">
        <w:rPr>
          <w:rFonts w:ascii="Times New Roman" w:hAnsi="Times New Roman" w:cs="Times New Roman"/>
        </w:rPr>
        <w:t xml:space="preserve">i iznose </w:t>
      </w:r>
      <w:r w:rsidR="00C74BB6">
        <w:rPr>
          <w:rFonts w:ascii="Times New Roman" w:hAnsi="Times New Roman" w:cs="Times New Roman"/>
        </w:rPr>
        <w:t>131.400</w:t>
      </w:r>
      <w:r w:rsidR="00C2270E">
        <w:rPr>
          <w:rFonts w:ascii="Times New Roman" w:hAnsi="Times New Roman" w:cs="Times New Roman"/>
        </w:rPr>
        <w:t xml:space="preserve">,00 </w:t>
      </w:r>
      <w:r w:rsidR="00BB6966">
        <w:rPr>
          <w:rFonts w:ascii="Times New Roman" w:hAnsi="Times New Roman" w:cs="Times New Roman"/>
        </w:rPr>
        <w:t xml:space="preserve">eura </w:t>
      </w:r>
    </w:p>
    <w:p w14:paraId="677DE797" w14:textId="6CB3F8A0" w:rsidR="00F96B6A" w:rsidRDefault="00F96B6A" w:rsidP="00862D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Planiranim povećanje će se </w:t>
      </w:r>
      <w:r w:rsidR="00776AE2">
        <w:rPr>
          <w:rFonts w:ascii="Times New Roman" w:hAnsi="Times New Roman" w:cs="Times New Roman"/>
        </w:rPr>
        <w:t>nabaviti</w:t>
      </w:r>
      <w:r>
        <w:rPr>
          <w:rFonts w:ascii="Times New Roman" w:hAnsi="Times New Roman" w:cs="Times New Roman"/>
        </w:rPr>
        <w:t xml:space="preserve"> uredska oprema - laptopi, glazbena oprema flauta i </w:t>
      </w:r>
      <w:proofErr w:type="spellStart"/>
      <w:r>
        <w:rPr>
          <w:rFonts w:ascii="Times New Roman" w:hAnsi="Times New Roman" w:cs="Times New Roman"/>
        </w:rPr>
        <w:t>klavinova</w:t>
      </w:r>
      <w:proofErr w:type="spellEnd"/>
      <w:r>
        <w:rPr>
          <w:rFonts w:ascii="Times New Roman" w:hAnsi="Times New Roman" w:cs="Times New Roman"/>
        </w:rPr>
        <w:t xml:space="preserve"> te će se </w:t>
      </w:r>
      <w:r w:rsidR="00862DD2">
        <w:rPr>
          <w:rFonts w:ascii="Times New Roman" w:hAnsi="Times New Roman" w:cs="Times New Roman"/>
        </w:rPr>
        <w:t>nabaviti</w:t>
      </w:r>
      <w:r>
        <w:rPr>
          <w:rFonts w:ascii="Times New Roman" w:hAnsi="Times New Roman" w:cs="Times New Roman"/>
        </w:rPr>
        <w:t xml:space="preserve"> fotokopirni uređaji za područne odjela zbog dotrajalosti starih.</w:t>
      </w:r>
    </w:p>
    <w:p w14:paraId="57466080" w14:textId="77777777" w:rsidR="00862DD2" w:rsidRDefault="00862DD2" w:rsidP="00862DD2">
      <w:pPr>
        <w:spacing w:after="0"/>
        <w:jc w:val="both"/>
        <w:rPr>
          <w:rFonts w:ascii="Times New Roman" w:hAnsi="Times New Roman" w:cs="Times New Roman"/>
        </w:rPr>
      </w:pPr>
    </w:p>
    <w:p w14:paraId="2B8EA251" w14:textId="310AABD3" w:rsidR="00CA45DE" w:rsidRDefault="00CA45DE" w:rsidP="00CA45DE">
      <w:pPr>
        <w:pStyle w:val="Odlomakpopisa"/>
        <w:spacing w:after="0"/>
        <w:ind w:left="0"/>
        <w:jc w:val="both"/>
        <w:rPr>
          <w:rFonts w:ascii="Times New Roman" w:hAnsi="Times New Roman"/>
          <w:b/>
          <w:iCs/>
        </w:rPr>
      </w:pPr>
      <w:r w:rsidRPr="00CA45D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901C0">
        <w:rPr>
          <w:rFonts w:ascii="Times New Roman" w:hAnsi="Times New Roman"/>
          <w:b/>
          <w:iCs/>
        </w:rPr>
        <w:t>O</w:t>
      </w:r>
      <w:r w:rsidR="009901C0" w:rsidRPr="009901C0">
        <w:rPr>
          <w:rFonts w:ascii="Times New Roman" w:hAnsi="Times New Roman"/>
          <w:b/>
          <w:iCs/>
        </w:rPr>
        <w:t>BRAZLOŽENJE RASPOLOŽIVIH SREDSTAVA IZ PRETHODNIH GODINA</w:t>
      </w:r>
      <w:r w:rsidR="008A375C">
        <w:rPr>
          <w:rFonts w:ascii="Times New Roman" w:hAnsi="Times New Roman"/>
          <w:b/>
          <w:iCs/>
        </w:rPr>
        <w:t xml:space="preserve"> </w:t>
      </w:r>
    </w:p>
    <w:p w14:paraId="19F5C0A4" w14:textId="77777777" w:rsidR="009901C0" w:rsidRPr="009901C0" w:rsidRDefault="009901C0" w:rsidP="00CA45DE">
      <w:pPr>
        <w:pStyle w:val="Odlomakpopisa"/>
        <w:spacing w:after="0"/>
        <w:ind w:left="0"/>
        <w:jc w:val="both"/>
        <w:rPr>
          <w:rFonts w:ascii="Times New Roman" w:hAnsi="Times New Roman"/>
          <w:b/>
          <w:iCs/>
        </w:rPr>
      </w:pPr>
    </w:p>
    <w:p w14:paraId="03EC046F" w14:textId="05185758" w:rsidR="00CA45DE" w:rsidRPr="008A375C" w:rsidRDefault="00CA45DE" w:rsidP="00A13BE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375C">
        <w:rPr>
          <w:rFonts w:ascii="Times New Roman" w:hAnsi="Times New Roman" w:cs="Times New Roman"/>
        </w:rPr>
        <w:t>Višak prihoda je planiran u iznosu od</w:t>
      </w:r>
      <w:r w:rsidR="00FF4A64">
        <w:rPr>
          <w:rFonts w:ascii="Times New Roman" w:hAnsi="Times New Roman" w:cs="Times New Roman"/>
        </w:rPr>
        <w:t xml:space="preserve">  308.248,00 eura.</w:t>
      </w:r>
      <w:r w:rsidRPr="008A375C">
        <w:rPr>
          <w:rFonts w:ascii="Times New Roman" w:hAnsi="Times New Roman" w:cs="Times New Roman"/>
        </w:rPr>
        <w:t xml:space="preserve"> U višku sredstava  planirani je manjak sredstava u iznosu od -</w:t>
      </w:r>
      <w:r w:rsidR="00FF4A64">
        <w:rPr>
          <w:rFonts w:ascii="Times New Roman" w:hAnsi="Times New Roman" w:cs="Times New Roman"/>
        </w:rPr>
        <w:t>1.249,71</w:t>
      </w:r>
      <w:r w:rsidRPr="008A375C">
        <w:rPr>
          <w:rFonts w:ascii="Times New Roman" w:hAnsi="Times New Roman" w:cs="Times New Roman"/>
        </w:rPr>
        <w:t xml:space="preserve"> eura iz pomoći </w:t>
      </w:r>
      <w:r w:rsidR="00220847">
        <w:rPr>
          <w:rFonts w:ascii="Times New Roman" w:hAnsi="Times New Roman" w:cs="Times New Roman"/>
        </w:rPr>
        <w:t>iz drugih proračuna</w:t>
      </w:r>
      <w:r w:rsidRPr="008A375C">
        <w:rPr>
          <w:rFonts w:ascii="Times New Roman" w:hAnsi="Times New Roman" w:cs="Times New Roman"/>
        </w:rPr>
        <w:t xml:space="preserve">  izvor decentralizacija</w:t>
      </w:r>
      <w:r w:rsidR="001F64BD" w:rsidRPr="008A375C">
        <w:rPr>
          <w:rFonts w:ascii="Times New Roman" w:hAnsi="Times New Roman" w:cs="Times New Roman"/>
        </w:rPr>
        <w:t xml:space="preserve"> (</w:t>
      </w:r>
      <w:r w:rsidR="00FF4A64">
        <w:rPr>
          <w:rFonts w:ascii="Times New Roman" w:hAnsi="Times New Roman" w:cs="Times New Roman"/>
        </w:rPr>
        <w:t>51</w:t>
      </w:r>
      <w:r w:rsidR="001F64BD" w:rsidRPr="008A375C">
        <w:rPr>
          <w:rFonts w:ascii="Times New Roman" w:hAnsi="Times New Roman" w:cs="Times New Roman"/>
        </w:rPr>
        <w:t>)</w:t>
      </w:r>
      <w:r w:rsidRPr="008A375C">
        <w:rPr>
          <w:rFonts w:ascii="Times New Roman" w:hAnsi="Times New Roman" w:cs="Times New Roman"/>
        </w:rPr>
        <w:t>, te -</w:t>
      </w:r>
      <w:r w:rsidR="001F64BD" w:rsidRPr="008A375C">
        <w:rPr>
          <w:rFonts w:ascii="Times New Roman" w:hAnsi="Times New Roman" w:cs="Times New Roman"/>
        </w:rPr>
        <w:t>4.</w:t>
      </w:r>
      <w:r w:rsidR="00FF4A64">
        <w:rPr>
          <w:rFonts w:ascii="Times New Roman" w:hAnsi="Times New Roman" w:cs="Times New Roman"/>
        </w:rPr>
        <w:t>390,75</w:t>
      </w:r>
      <w:r w:rsidRPr="008A375C">
        <w:rPr>
          <w:rFonts w:ascii="Times New Roman" w:hAnsi="Times New Roman" w:cs="Times New Roman"/>
        </w:rPr>
        <w:t xml:space="preserve"> euro iz pomoći</w:t>
      </w:r>
      <w:r w:rsidR="00220847">
        <w:rPr>
          <w:rFonts w:ascii="Times New Roman" w:hAnsi="Times New Roman" w:cs="Times New Roman"/>
        </w:rPr>
        <w:t xml:space="preserve"> proračunskim korisnicima</w:t>
      </w:r>
      <w:r w:rsidRPr="008A375C">
        <w:rPr>
          <w:rFonts w:ascii="Times New Roman" w:hAnsi="Times New Roman" w:cs="Times New Roman"/>
        </w:rPr>
        <w:t xml:space="preserve">  </w:t>
      </w:r>
      <w:r w:rsidR="00962478" w:rsidRPr="008A375C">
        <w:rPr>
          <w:rFonts w:ascii="Times New Roman" w:hAnsi="Times New Roman" w:cs="Times New Roman"/>
        </w:rPr>
        <w:t xml:space="preserve">izvor </w:t>
      </w:r>
      <w:r w:rsidR="005B7881" w:rsidRPr="008A375C">
        <w:rPr>
          <w:rFonts w:ascii="Times New Roman" w:hAnsi="Times New Roman" w:cs="Times New Roman"/>
        </w:rPr>
        <w:t>županija</w:t>
      </w:r>
      <w:r w:rsidR="00FF4A64">
        <w:rPr>
          <w:rFonts w:ascii="Times New Roman" w:hAnsi="Times New Roman" w:cs="Times New Roman"/>
        </w:rPr>
        <w:t>(55)</w:t>
      </w:r>
      <w:r w:rsidR="008D5DD9" w:rsidRPr="008A375C">
        <w:rPr>
          <w:rFonts w:ascii="Times New Roman" w:hAnsi="Times New Roman" w:cs="Times New Roman"/>
        </w:rPr>
        <w:t>, te -</w:t>
      </w:r>
      <w:r w:rsidR="00FF4A64">
        <w:rPr>
          <w:rFonts w:ascii="Times New Roman" w:hAnsi="Times New Roman" w:cs="Times New Roman"/>
        </w:rPr>
        <w:t>187,00</w:t>
      </w:r>
      <w:r w:rsidR="008D5DD9" w:rsidRPr="008A375C">
        <w:rPr>
          <w:rFonts w:ascii="Times New Roman" w:hAnsi="Times New Roman" w:cs="Times New Roman"/>
        </w:rPr>
        <w:t xml:space="preserve"> eura manjka iz proračuna Grada Koprivnice izvor 1</w:t>
      </w:r>
      <w:r w:rsidR="00FF4A64">
        <w:rPr>
          <w:rFonts w:ascii="Times New Roman" w:hAnsi="Times New Roman" w:cs="Times New Roman"/>
        </w:rPr>
        <w:t>1</w:t>
      </w:r>
      <w:r w:rsidR="00220847">
        <w:rPr>
          <w:rFonts w:ascii="Times New Roman" w:hAnsi="Times New Roman" w:cs="Times New Roman"/>
        </w:rPr>
        <w:t xml:space="preserve"> opći prihodi i primici</w:t>
      </w:r>
    </w:p>
    <w:p w14:paraId="1072DA4A" w14:textId="75B19DC7" w:rsidR="005B7881" w:rsidRPr="008A375C" w:rsidRDefault="005B7881" w:rsidP="00A13BE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375C">
        <w:rPr>
          <w:rFonts w:ascii="Times New Roman" w:hAnsi="Times New Roman" w:cs="Times New Roman"/>
        </w:rPr>
        <w:t xml:space="preserve">Višak prihoda </w:t>
      </w:r>
      <w:r w:rsidR="00862DD2">
        <w:rPr>
          <w:rFonts w:ascii="Times New Roman" w:hAnsi="Times New Roman" w:cs="Times New Roman"/>
        </w:rPr>
        <w:t>vlastiti</w:t>
      </w:r>
      <w:r w:rsidR="00E33A9A">
        <w:rPr>
          <w:rFonts w:ascii="Times New Roman" w:hAnsi="Times New Roman" w:cs="Times New Roman"/>
        </w:rPr>
        <w:t xml:space="preserve"> </w:t>
      </w:r>
      <w:r w:rsidRPr="008A375C">
        <w:rPr>
          <w:rFonts w:ascii="Times New Roman" w:hAnsi="Times New Roman" w:cs="Times New Roman"/>
        </w:rPr>
        <w:t xml:space="preserve">iznosi </w:t>
      </w:r>
      <w:r w:rsidR="00FF4A64">
        <w:rPr>
          <w:rFonts w:ascii="Times New Roman" w:hAnsi="Times New Roman" w:cs="Times New Roman"/>
        </w:rPr>
        <w:t>16.107,00</w:t>
      </w:r>
      <w:r w:rsidRPr="008A375C">
        <w:rPr>
          <w:rFonts w:ascii="Times New Roman" w:hAnsi="Times New Roman" w:cs="Times New Roman"/>
        </w:rPr>
        <w:t xml:space="preserve"> eura</w:t>
      </w:r>
      <w:r w:rsidR="00373051">
        <w:rPr>
          <w:rFonts w:ascii="Times New Roman" w:hAnsi="Times New Roman" w:cs="Times New Roman"/>
        </w:rPr>
        <w:t>,</w:t>
      </w:r>
      <w:r w:rsidRPr="008A375C">
        <w:rPr>
          <w:rFonts w:ascii="Times New Roman" w:hAnsi="Times New Roman" w:cs="Times New Roman"/>
        </w:rPr>
        <w:t xml:space="preserve"> a od prihoda za posebne namjene</w:t>
      </w:r>
      <w:r w:rsidR="00E33A9A">
        <w:rPr>
          <w:rFonts w:ascii="Times New Roman" w:hAnsi="Times New Roman" w:cs="Times New Roman"/>
        </w:rPr>
        <w:t xml:space="preserve"> </w:t>
      </w:r>
      <w:r w:rsidRPr="008A375C">
        <w:rPr>
          <w:rFonts w:ascii="Times New Roman" w:hAnsi="Times New Roman" w:cs="Times New Roman"/>
        </w:rPr>
        <w:t xml:space="preserve">iznosi </w:t>
      </w:r>
      <w:r w:rsidR="00E33A9A">
        <w:rPr>
          <w:rFonts w:ascii="Times New Roman" w:hAnsi="Times New Roman" w:cs="Times New Roman"/>
        </w:rPr>
        <w:t>297.969,00</w:t>
      </w:r>
      <w:r w:rsidRPr="008A375C">
        <w:rPr>
          <w:rFonts w:ascii="Times New Roman" w:hAnsi="Times New Roman" w:cs="Times New Roman"/>
        </w:rPr>
        <w:t xml:space="preserve"> eura</w:t>
      </w:r>
      <w:r w:rsidR="00373051">
        <w:rPr>
          <w:rFonts w:ascii="Times New Roman" w:hAnsi="Times New Roman" w:cs="Times New Roman"/>
        </w:rPr>
        <w:t>.</w:t>
      </w:r>
      <w:r w:rsidR="008F08EA" w:rsidRPr="008A375C">
        <w:rPr>
          <w:rFonts w:ascii="Times New Roman" w:hAnsi="Times New Roman" w:cs="Times New Roman"/>
        </w:rPr>
        <w:t xml:space="preserve"> </w:t>
      </w:r>
    </w:p>
    <w:p w14:paraId="212CF2B2" w14:textId="77777777" w:rsidR="00CA45DE" w:rsidRPr="008A375C" w:rsidRDefault="00CA45DE" w:rsidP="00CA45DE">
      <w:pPr>
        <w:pStyle w:val="Odlomakpopisa"/>
        <w:spacing w:after="0"/>
        <w:rPr>
          <w:rFonts w:ascii="Times New Roman" w:hAnsi="Times New Roman"/>
        </w:rPr>
      </w:pPr>
    </w:p>
    <w:p w14:paraId="546757C7" w14:textId="2E7755E2" w:rsidR="00CA45DE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  <w:r w:rsidRPr="00CA45DE">
        <w:rPr>
          <w:rFonts w:ascii="Times New Roman" w:hAnsi="Times New Roman"/>
        </w:rPr>
        <w:t xml:space="preserve"> U Prijedlogu</w:t>
      </w:r>
      <w:r w:rsidR="005B7881">
        <w:rPr>
          <w:rFonts w:ascii="Times New Roman" w:hAnsi="Times New Roman"/>
        </w:rPr>
        <w:t xml:space="preserve"> </w:t>
      </w:r>
      <w:r w:rsidR="00BE0D33">
        <w:rPr>
          <w:rFonts w:ascii="Times New Roman" w:hAnsi="Times New Roman"/>
        </w:rPr>
        <w:t>I</w:t>
      </w:r>
      <w:r w:rsidR="00C74BB6">
        <w:rPr>
          <w:rFonts w:ascii="Times New Roman" w:hAnsi="Times New Roman"/>
        </w:rPr>
        <w:t>I</w:t>
      </w:r>
      <w:r w:rsidR="005B7881">
        <w:rPr>
          <w:rFonts w:ascii="Times New Roman" w:hAnsi="Times New Roman"/>
        </w:rPr>
        <w:t>. Izmjena i dopuna</w:t>
      </w:r>
      <w:r w:rsidRPr="00CA45DE">
        <w:rPr>
          <w:rFonts w:ascii="Times New Roman" w:hAnsi="Times New Roman"/>
        </w:rPr>
        <w:t xml:space="preserve"> fi</w:t>
      </w:r>
      <w:r w:rsidR="005B7881">
        <w:rPr>
          <w:rFonts w:ascii="Times New Roman" w:hAnsi="Times New Roman"/>
        </w:rPr>
        <w:t>nancijskog plana za 202</w:t>
      </w:r>
      <w:r w:rsidR="00E33A9A">
        <w:rPr>
          <w:rFonts w:ascii="Times New Roman" w:hAnsi="Times New Roman"/>
        </w:rPr>
        <w:t>5.</w:t>
      </w:r>
      <w:r w:rsidRPr="00CA45DE">
        <w:rPr>
          <w:rFonts w:ascii="Times New Roman" w:hAnsi="Times New Roman"/>
        </w:rPr>
        <w:t xml:space="preserve">godinu  rashodi  se prema </w:t>
      </w:r>
      <w:r w:rsidR="005B7881">
        <w:rPr>
          <w:rFonts w:ascii="Times New Roman" w:hAnsi="Times New Roman"/>
        </w:rPr>
        <w:t>organizacijskoj</w:t>
      </w:r>
      <w:r w:rsidR="00E33A9A">
        <w:rPr>
          <w:rFonts w:ascii="Times New Roman" w:hAnsi="Times New Roman"/>
        </w:rPr>
        <w:t xml:space="preserve"> i funkcijskoj </w:t>
      </w:r>
      <w:r w:rsidRPr="00CA45DE">
        <w:rPr>
          <w:rFonts w:ascii="Times New Roman" w:hAnsi="Times New Roman"/>
        </w:rPr>
        <w:t>klasifikaciji  odnose</w:t>
      </w:r>
      <w:r w:rsidR="00E33A9A">
        <w:rPr>
          <w:rFonts w:ascii="Times New Roman" w:hAnsi="Times New Roman"/>
        </w:rPr>
        <w:t xml:space="preserve"> na</w:t>
      </w:r>
      <w:r w:rsidRPr="00CA45DE">
        <w:rPr>
          <w:rFonts w:ascii="Times New Roman" w:hAnsi="Times New Roman"/>
        </w:rPr>
        <w:t xml:space="preserve"> </w:t>
      </w:r>
      <w:r w:rsidR="00E33A9A">
        <w:rPr>
          <w:rFonts w:ascii="Times New Roman" w:hAnsi="Times New Roman"/>
        </w:rPr>
        <w:t>osnovno</w:t>
      </w:r>
      <w:r w:rsidRPr="00CA45DE">
        <w:rPr>
          <w:rFonts w:ascii="Times New Roman" w:hAnsi="Times New Roman"/>
        </w:rPr>
        <w:t xml:space="preserve"> </w:t>
      </w:r>
      <w:r w:rsidR="00E33A9A">
        <w:rPr>
          <w:rFonts w:ascii="Times New Roman" w:hAnsi="Times New Roman"/>
        </w:rPr>
        <w:t>obrazovanje za</w:t>
      </w:r>
      <w:r w:rsidRPr="00CA45DE">
        <w:rPr>
          <w:rFonts w:ascii="Times New Roman" w:hAnsi="Times New Roman"/>
        </w:rPr>
        <w:t xml:space="preserve"> </w:t>
      </w:r>
      <w:r w:rsidR="005B7881">
        <w:rPr>
          <w:rFonts w:ascii="Times New Roman" w:hAnsi="Times New Roman"/>
        </w:rPr>
        <w:t>osnov</w:t>
      </w:r>
      <w:r w:rsidR="00E33A9A">
        <w:rPr>
          <w:rFonts w:ascii="Times New Roman" w:hAnsi="Times New Roman"/>
        </w:rPr>
        <w:t>ne</w:t>
      </w:r>
      <w:r w:rsidR="005B7881">
        <w:rPr>
          <w:rFonts w:ascii="Times New Roman" w:hAnsi="Times New Roman"/>
        </w:rPr>
        <w:t xml:space="preserve"> škole</w:t>
      </w:r>
      <w:r w:rsidR="00E33A9A">
        <w:rPr>
          <w:rFonts w:ascii="Times New Roman" w:hAnsi="Times New Roman"/>
        </w:rPr>
        <w:t xml:space="preserve"> </w:t>
      </w:r>
      <w:r w:rsidRPr="00CA45DE">
        <w:rPr>
          <w:rFonts w:ascii="Times New Roman" w:hAnsi="Times New Roman"/>
        </w:rPr>
        <w:t xml:space="preserve">i to </w:t>
      </w:r>
      <w:r w:rsidR="005B7881">
        <w:rPr>
          <w:rFonts w:ascii="Times New Roman" w:hAnsi="Times New Roman"/>
        </w:rPr>
        <w:t xml:space="preserve">u ukupnom iznosu od </w:t>
      </w:r>
      <w:r w:rsidR="00E33A9A">
        <w:rPr>
          <w:rFonts w:ascii="Times New Roman" w:hAnsi="Times New Roman"/>
        </w:rPr>
        <w:t>1.780.</w:t>
      </w:r>
      <w:r w:rsidR="00C74BB6">
        <w:rPr>
          <w:rFonts w:ascii="Times New Roman" w:hAnsi="Times New Roman"/>
        </w:rPr>
        <w:t>9</w:t>
      </w:r>
      <w:r w:rsidR="00E33A9A">
        <w:rPr>
          <w:rFonts w:ascii="Times New Roman" w:hAnsi="Times New Roman"/>
        </w:rPr>
        <w:t>31,00</w:t>
      </w:r>
      <w:r w:rsidR="005B7881">
        <w:rPr>
          <w:rFonts w:ascii="Times New Roman" w:hAnsi="Times New Roman"/>
        </w:rPr>
        <w:t xml:space="preserve"> eura</w:t>
      </w:r>
      <w:r w:rsidR="0065665E">
        <w:rPr>
          <w:rFonts w:ascii="Times New Roman" w:hAnsi="Times New Roman"/>
        </w:rPr>
        <w:t xml:space="preserve"> </w:t>
      </w:r>
    </w:p>
    <w:p w14:paraId="47959F3D" w14:textId="77777777" w:rsidR="00CA45DE" w:rsidRPr="00CA45DE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</w:p>
    <w:p w14:paraId="0239E3B4" w14:textId="77777777" w:rsidR="00862DD2" w:rsidRDefault="00862DD2" w:rsidP="00CA45DE">
      <w:pPr>
        <w:pStyle w:val="Odlomakpopisa"/>
        <w:spacing w:after="0"/>
        <w:ind w:left="0"/>
        <w:rPr>
          <w:rFonts w:ascii="Times New Roman" w:hAnsi="Times New Roman"/>
          <w:b/>
        </w:rPr>
      </w:pPr>
    </w:p>
    <w:p w14:paraId="352CAD32" w14:textId="77777777" w:rsidR="00862DD2" w:rsidRDefault="00862DD2" w:rsidP="00CA45DE">
      <w:pPr>
        <w:pStyle w:val="Odlomakpopisa"/>
        <w:spacing w:after="0"/>
        <w:ind w:left="0"/>
        <w:rPr>
          <w:rFonts w:ascii="Times New Roman" w:hAnsi="Times New Roman"/>
          <w:b/>
        </w:rPr>
      </w:pPr>
    </w:p>
    <w:p w14:paraId="4250F96E" w14:textId="77777777" w:rsidR="00862DD2" w:rsidRDefault="00862DD2" w:rsidP="00CA45DE">
      <w:pPr>
        <w:pStyle w:val="Odlomakpopisa"/>
        <w:spacing w:after="0"/>
        <w:ind w:left="0"/>
        <w:rPr>
          <w:rFonts w:ascii="Times New Roman" w:hAnsi="Times New Roman"/>
          <w:b/>
        </w:rPr>
      </w:pPr>
    </w:p>
    <w:p w14:paraId="520AD335" w14:textId="0DFD1D12" w:rsidR="00CA45DE" w:rsidRDefault="009901C0" w:rsidP="00CA45DE">
      <w:pPr>
        <w:pStyle w:val="Odlomakpopisa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116A60">
        <w:rPr>
          <w:rFonts w:ascii="Times New Roman" w:hAnsi="Times New Roman"/>
          <w:b/>
        </w:rPr>
        <w:lastRenderedPageBreak/>
        <w:t>OBRAZLOŽENJE</w:t>
      </w:r>
      <w:r>
        <w:rPr>
          <w:rFonts w:ascii="Times New Roman" w:hAnsi="Times New Roman"/>
          <w:b/>
        </w:rPr>
        <w:t xml:space="preserve"> PRIJEDLOGA </w:t>
      </w:r>
      <w:r w:rsidR="00BE0D33">
        <w:rPr>
          <w:rFonts w:ascii="Times New Roman" w:hAnsi="Times New Roman"/>
          <w:b/>
        </w:rPr>
        <w:t>I</w:t>
      </w:r>
      <w:r w:rsidR="00C74BB6">
        <w:rPr>
          <w:rFonts w:ascii="Times New Roman" w:hAnsi="Times New Roman"/>
          <w:b/>
        </w:rPr>
        <w:t>I</w:t>
      </w:r>
      <w:r>
        <w:rPr>
          <w:rFonts w:ascii="Times New Roman" w:hAnsi="Times New Roman"/>
          <w:b/>
        </w:rPr>
        <w:t>. IZMJENA I DOPUNA</w:t>
      </w:r>
      <w:r w:rsidR="00CA45DE" w:rsidRPr="009901C0">
        <w:rPr>
          <w:rFonts w:ascii="Times New Roman" w:hAnsi="Times New Roman"/>
          <w:b/>
        </w:rPr>
        <w:t xml:space="preserve"> FINANCIJSKOG PLANA PREMA IZVORIMA FINANCIRANJA</w:t>
      </w:r>
      <w:r w:rsidR="00CA45DE" w:rsidRPr="00CA45DE">
        <w:rPr>
          <w:rFonts w:ascii="Times New Roman" w:hAnsi="Times New Roman"/>
          <w:b/>
          <w:sz w:val="24"/>
          <w:szCs w:val="24"/>
        </w:rPr>
        <w:t>:</w:t>
      </w:r>
    </w:p>
    <w:p w14:paraId="04556F40" w14:textId="77777777" w:rsidR="009901C0" w:rsidRPr="00CA45DE" w:rsidRDefault="009901C0" w:rsidP="00CA45DE">
      <w:pPr>
        <w:pStyle w:val="Odlomakpopisa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5C99994E" w14:textId="77777777" w:rsidR="00CA45DE" w:rsidRPr="008A375C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Izvori financiranja predstavljaju skupine prihoda i primitaka koji služe podmirivanju rashoda i izdataka po vrsti i namjeni.</w:t>
      </w:r>
    </w:p>
    <w:p w14:paraId="0B9B21E0" w14:textId="77777777" w:rsidR="00CA45DE" w:rsidRPr="008A375C" w:rsidRDefault="00CA45DE" w:rsidP="00CA45DE">
      <w:pPr>
        <w:pStyle w:val="Odlomakpopisa"/>
        <w:spacing w:after="0"/>
        <w:ind w:left="0"/>
        <w:rPr>
          <w:rFonts w:ascii="Times New Roman" w:hAnsi="Times New Roman"/>
        </w:rPr>
      </w:pPr>
      <w:r w:rsidRPr="008A375C">
        <w:rPr>
          <w:rFonts w:ascii="Times New Roman" w:hAnsi="Times New Roman"/>
        </w:rPr>
        <w:t>Vrste financiranja su:</w:t>
      </w:r>
    </w:p>
    <w:p w14:paraId="596F4E5D" w14:textId="7AA1C478" w:rsidR="00CA45DE" w:rsidRPr="008A375C" w:rsidRDefault="00CA45DE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1</w:t>
      </w:r>
      <w:r w:rsidRPr="008A375C">
        <w:rPr>
          <w:rFonts w:ascii="Times New Roman" w:hAnsi="Times New Roman"/>
        </w:rPr>
        <w:t>- Opći prihodi i primici koji uključuju prihode iz proračuna za financiranje redovne djelatnost</w:t>
      </w:r>
      <w:r w:rsidR="009901C0" w:rsidRPr="008A375C">
        <w:rPr>
          <w:rFonts w:ascii="Times New Roman" w:hAnsi="Times New Roman"/>
        </w:rPr>
        <w:t>i (podskupina 671) oni</w:t>
      </w:r>
      <w:r w:rsidRPr="008A375C">
        <w:rPr>
          <w:rFonts w:ascii="Times New Roman" w:hAnsi="Times New Roman"/>
        </w:rPr>
        <w:t xml:space="preserve"> iznose </w:t>
      </w:r>
      <w:r w:rsidR="00C74BB6">
        <w:rPr>
          <w:rFonts w:ascii="Times New Roman" w:hAnsi="Times New Roman"/>
        </w:rPr>
        <w:t>49.792,00</w:t>
      </w:r>
      <w:r w:rsidR="009901C0" w:rsidRPr="008A375C">
        <w:rPr>
          <w:rFonts w:ascii="Times New Roman" w:hAnsi="Times New Roman"/>
        </w:rPr>
        <w:t xml:space="preserve"> </w:t>
      </w:r>
      <w:r w:rsidRPr="008A375C">
        <w:rPr>
          <w:rFonts w:ascii="Times New Roman" w:hAnsi="Times New Roman"/>
        </w:rPr>
        <w:t>eura</w:t>
      </w:r>
      <w:r w:rsidR="009901C0" w:rsidRPr="008A375C">
        <w:rPr>
          <w:rFonts w:ascii="Times New Roman" w:hAnsi="Times New Roman"/>
        </w:rPr>
        <w:t xml:space="preserve"> </w:t>
      </w:r>
      <w:r w:rsidR="0009116D">
        <w:rPr>
          <w:rFonts w:ascii="Times New Roman" w:hAnsi="Times New Roman"/>
        </w:rPr>
        <w:t>i ostaju nepromijenjeni</w:t>
      </w:r>
    </w:p>
    <w:p w14:paraId="1E1E2446" w14:textId="5251A11E" w:rsidR="00CA45DE" w:rsidRPr="008A375C" w:rsidRDefault="0009116D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3</w:t>
      </w:r>
      <w:r w:rsidR="00CA45DE" w:rsidRPr="008A375C">
        <w:rPr>
          <w:rFonts w:ascii="Times New Roman" w:hAnsi="Times New Roman"/>
        </w:rPr>
        <w:t>-Vlastiti prihodi- prihodi koje ostvarujemo od najma instrumenata ( podsk</w:t>
      </w:r>
      <w:r w:rsidR="009901C0" w:rsidRPr="008A375C">
        <w:rPr>
          <w:rFonts w:ascii="Times New Roman" w:hAnsi="Times New Roman"/>
        </w:rPr>
        <w:t xml:space="preserve">upina 661)  iznose </w:t>
      </w:r>
      <w:r w:rsidR="00C74BB6">
        <w:rPr>
          <w:rFonts w:ascii="Times New Roman" w:hAnsi="Times New Roman"/>
        </w:rPr>
        <w:t>6.000,00</w:t>
      </w:r>
      <w:r>
        <w:rPr>
          <w:rFonts w:ascii="Times New Roman" w:hAnsi="Times New Roman"/>
        </w:rPr>
        <w:t xml:space="preserve"> eura  </w:t>
      </w:r>
      <w:r w:rsidR="00C74BB6">
        <w:rPr>
          <w:rFonts w:ascii="Times New Roman" w:hAnsi="Times New Roman"/>
        </w:rPr>
        <w:t>i ostaju nepromijenjeni</w:t>
      </w:r>
    </w:p>
    <w:p w14:paraId="056246C8" w14:textId="3A956ED7" w:rsidR="00CA45DE" w:rsidRPr="008A375C" w:rsidRDefault="0009116D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4</w:t>
      </w:r>
      <w:r w:rsidR="00CA45DE" w:rsidRPr="008A375C">
        <w:rPr>
          <w:rFonts w:ascii="Times New Roman" w:hAnsi="Times New Roman"/>
        </w:rPr>
        <w:t xml:space="preserve">-Prihodi za posebne namjene prihodi čije su korištenje i namjena utvrđeni posebnim propisima (podskupina 652) iznose </w:t>
      </w:r>
      <w:r w:rsidR="005E576D">
        <w:rPr>
          <w:rFonts w:ascii="Times New Roman" w:hAnsi="Times New Roman"/>
        </w:rPr>
        <w:t>60.100,00</w:t>
      </w:r>
      <w:r w:rsidR="00CA45DE" w:rsidRPr="008A375C">
        <w:rPr>
          <w:rFonts w:ascii="Times New Roman" w:hAnsi="Times New Roman"/>
        </w:rPr>
        <w:t xml:space="preserve"> eura</w:t>
      </w:r>
      <w:r w:rsidR="009901C0" w:rsidRPr="008A375C">
        <w:rPr>
          <w:rFonts w:ascii="Times New Roman" w:hAnsi="Times New Roman"/>
        </w:rPr>
        <w:t xml:space="preserve"> </w:t>
      </w:r>
      <w:r w:rsidR="005E576D">
        <w:rPr>
          <w:rFonts w:ascii="Times New Roman" w:hAnsi="Times New Roman"/>
        </w:rPr>
        <w:t xml:space="preserve">i ostaju nepromijenjeni </w:t>
      </w:r>
    </w:p>
    <w:p w14:paraId="264226B9" w14:textId="6BC66761" w:rsidR="00CA45DE" w:rsidRPr="008A375C" w:rsidRDefault="0009116D" w:rsidP="00CA45DE">
      <w:pPr>
        <w:pStyle w:val="Odlomakpopisa"/>
        <w:spacing w:after="0"/>
        <w:rPr>
          <w:rFonts w:ascii="Times New Roman" w:hAnsi="Times New Roman"/>
        </w:rPr>
      </w:pPr>
      <w:r w:rsidRPr="0009116D">
        <w:rPr>
          <w:rFonts w:ascii="Times New Roman" w:hAnsi="Times New Roman"/>
          <w:b/>
          <w:bCs/>
        </w:rPr>
        <w:t>5</w:t>
      </w:r>
      <w:r w:rsidR="00CA45DE" w:rsidRPr="008A375C">
        <w:rPr>
          <w:rFonts w:ascii="Times New Roman" w:hAnsi="Times New Roman"/>
        </w:rPr>
        <w:t xml:space="preserve">-Pomoći-prihodi ostvareni od pomoći iz proračuna koji im nije nadležan </w:t>
      </w:r>
      <w:r w:rsidR="009901C0" w:rsidRPr="008A375C">
        <w:rPr>
          <w:rFonts w:ascii="Times New Roman" w:hAnsi="Times New Roman"/>
        </w:rPr>
        <w:t xml:space="preserve">oni </w:t>
      </w:r>
      <w:r w:rsidR="00CA45DE" w:rsidRPr="008A375C">
        <w:rPr>
          <w:rFonts w:ascii="Times New Roman" w:hAnsi="Times New Roman"/>
        </w:rPr>
        <w:t xml:space="preserve">iznose </w:t>
      </w:r>
      <w:r>
        <w:rPr>
          <w:rFonts w:ascii="Times New Roman" w:hAnsi="Times New Roman"/>
        </w:rPr>
        <w:t>1.</w:t>
      </w:r>
      <w:r w:rsidR="005E576D">
        <w:rPr>
          <w:rFonts w:ascii="Times New Roman" w:hAnsi="Times New Roman"/>
        </w:rPr>
        <w:t>356.</w:t>
      </w:r>
      <w:r w:rsidR="005340E5">
        <w:rPr>
          <w:rFonts w:ascii="Times New Roman" w:hAnsi="Times New Roman"/>
        </w:rPr>
        <w:t>7</w:t>
      </w:r>
      <w:r w:rsidR="005E576D">
        <w:rPr>
          <w:rFonts w:ascii="Times New Roman" w:hAnsi="Times New Roman"/>
        </w:rPr>
        <w:t>91,00</w:t>
      </w:r>
      <w:r w:rsidR="00CA45DE" w:rsidRPr="008A375C">
        <w:rPr>
          <w:rFonts w:ascii="Times New Roman" w:hAnsi="Times New Roman"/>
        </w:rPr>
        <w:t xml:space="preserve"> eura</w:t>
      </w:r>
      <w:r w:rsidR="009901C0" w:rsidRPr="008A375C">
        <w:rPr>
          <w:rFonts w:ascii="Times New Roman" w:hAnsi="Times New Roman"/>
        </w:rPr>
        <w:t xml:space="preserve"> </w:t>
      </w:r>
      <w:r w:rsidR="00581CD4">
        <w:rPr>
          <w:rFonts w:ascii="Times New Roman" w:hAnsi="Times New Roman"/>
        </w:rPr>
        <w:t>i</w:t>
      </w:r>
      <w:r w:rsidR="005340E5">
        <w:rPr>
          <w:rFonts w:ascii="Times New Roman" w:hAnsi="Times New Roman"/>
        </w:rPr>
        <w:t xml:space="preserve"> povećavanju</w:t>
      </w:r>
      <w:r w:rsidR="00581CD4">
        <w:rPr>
          <w:rFonts w:ascii="Times New Roman" w:hAnsi="Times New Roman"/>
        </w:rPr>
        <w:t xml:space="preserve"> se</w:t>
      </w:r>
      <w:r w:rsidR="005340E5">
        <w:rPr>
          <w:rFonts w:ascii="Times New Roman" w:hAnsi="Times New Roman"/>
        </w:rPr>
        <w:t xml:space="preserve"> za 400,00 eura</w:t>
      </w:r>
    </w:p>
    <w:p w14:paraId="6A47CE7E" w14:textId="77777777" w:rsidR="0009116D" w:rsidRDefault="0009116D" w:rsidP="0009116D"/>
    <w:p w14:paraId="3499A934" w14:textId="77777777" w:rsidR="00D83CFB" w:rsidRDefault="004A3045" w:rsidP="003451EA">
      <w:pPr>
        <w:rPr>
          <w:rFonts w:ascii="Times New Roman" w:hAnsi="Times New Roman"/>
          <w:b/>
        </w:rPr>
      </w:pPr>
      <w:r w:rsidRPr="003451EA">
        <w:rPr>
          <w:rFonts w:ascii="Times New Roman" w:hAnsi="Times New Roman"/>
          <w:b/>
        </w:rPr>
        <w:t>OBRAZLOŽENJE PROGRAMA</w:t>
      </w:r>
      <w:r w:rsidR="008F7F79" w:rsidRPr="003451EA">
        <w:rPr>
          <w:rFonts w:ascii="Times New Roman" w:hAnsi="Times New Roman"/>
          <w:b/>
        </w:rPr>
        <w:t xml:space="preserve"> I</w:t>
      </w:r>
      <w:r w:rsidR="003451EA">
        <w:rPr>
          <w:rFonts w:ascii="Times New Roman" w:hAnsi="Times New Roman"/>
          <w:b/>
        </w:rPr>
        <w:t xml:space="preserve"> NIHOVIH</w:t>
      </w:r>
      <w:r w:rsidR="00DE4C38">
        <w:rPr>
          <w:rFonts w:ascii="Times New Roman" w:hAnsi="Times New Roman"/>
          <w:b/>
        </w:rPr>
        <w:t xml:space="preserve"> AKTIVNOSTI SA ISHODIŠTEM I POKAZATELJIMA NA KOJIMA SE ZASNIVAJU IZRAČUNI POTREBNIH SREDSTAVA </w:t>
      </w:r>
    </w:p>
    <w:p w14:paraId="05FCF055" w14:textId="03586942" w:rsidR="00E56364" w:rsidRPr="008D3B60" w:rsidRDefault="001140BE" w:rsidP="008D3B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</w:t>
      </w:r>
      <w:r w:rsidR="005E576D">
        <w:rPr>
          <w:rFonts w:ascii="Times New Roman" w:hAnsi="Times New Roman" w:cs="Times New Roman"/>
        </w:rPr>
        <w:t>I</w:t>
      </w:r>
      <w:r w:rsidR="00E27C1C">
        <w:rPr>
          <w:rFonts w:ascii="Times New Roman" w:hAnsi="Times New Roman" w:cs="Times New Roman"/>
        </w:rPr>
        <w:t>I</w:t>
      </w:r>
      <w:r w:rsidR="008D3B60">
        <w:rPr>
          <w:rFonts w:ascii="Times New Roman" w:hAnsi="Times New Roman" w:cs="Times New Roman"/>
        </w:rPr>
        <w:t>.  Izmjena i dopuna financijskog plana  Umjetničke</w:t>
      </w:r>
      <w:r>
        <w:rPr>
          <w:rFonts w:ascii="Times New Roman" w:hAnsi="Times New Roman" w:cs="Times New Roman"/>
        </w:rPr>
        <w:t xml:space="preserve"> škole Fortunat</w:t>
      </w:r>
      <w:r w:rsidR="008A0987">
        <w:rPr>
          <w:rFonts w:ascii="Times New Roman" w:hAnsi="Times New Roman" w:cs="Times New Roman"/>
        </w:rPr>
        <w:t xml:space="preserve"> Pintarić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>. godinu izrađen je na temelju Zakona o proračunu  i Uputa za izradu</w:t>
      </w:r>
      <w:r>
        <w:rPr>
          <w:rFonts w:ascii="Times New Roman" w:hAnsi="Times New Roman" w:cs="Times New Roman"/>
        </w:rPr>
        <w:t xml:space="preserve"> </w:t>
      </w:r>
      <w:r w:rsidR="00E27C1C">
        <w:rPr>
          <w:rFonts w:ascii="Times New Roman" w:hAnsi="Times New Roman" w:cs="Times New Roman"/>
        </w:rPr>
        <w:t>I</w:t>
      </w:r>
      <w:r w:rsidR="005E576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. izmjena i dopuna </w:t>
      </w:r>
      <w:r w:rsidR="008D3B60">
        <w:rPr>
          <w:rFonts w:ascii="Times New Roman" w:hAnsi="Times New Roman" w:cs="Times New Roman"/>
        </w:rPr>
        <w:t xml:space="preserve"> pr</w:t>
      </w:r>
      <w:r w:rsidR="008A0987">
        <w:rPr>
          <w:rFonts w:ascii="Times New Roman" w:hAnsi="Times New Roman" w:cs="Times New Roman"/>
        </w:rPr>
        <w:t>oračuna Grada Koprivnice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>.</w:t>
      </w:r>
      <w:r w:rsidR="00506F35">
        <w:rPr>
          <w:rFonts w:ascii="Times New Roman" w:hAnsi="Times New Roman" w:cs="Times New Roman"/>
        </w:rPr>
        <w:t xml:space="preserve"> godinu</w:t>
      </w:r>
      <w:r w:rsidR="008D3B60">
        <w:rPr>
          <w:rFonts w:ascii="Times New Roman" w:hAnsi="Times New Roman" w:cs="Times New Roman"/>
        </w:rPr>
        <w:t>. Prijedlog</w:t>
      </w:r>
      <w:r>
        <w:rPr>
          <w:rFonts w:ascii="Times New Roman" w:hAnsi="Times New Roman" w:cs="Times New Roman"/>
        </w:rPr>
        <w:t xml:space="preserve"> </w:t>
      </w:r>
      <w:r w:rsidR="004744FA">
        <w:rPr>
          <w:rFonts w:ascii="Times New Roman" w:hAnsi="Times New Roman" w:cs="Times New Roman"/>
        </w:rPr>
        <w:t>I</w:t>
      </w:r>
      <w:r w:rsidR="005E576D">
        <w:rPr>
          <w:rFonts w:ascii="Times New Roman" w:hAnsi="Times New Roman" w:cs="Times New Roman"/>
        </w:rPr>
        <w:t>I</w:t>
      </w:r>
      <w:r w:rsidR="00BD4CD0">
        <w:rPr>
          <w:rFonts w:ascii="Times New Roman" w:hAnsi="Times New Roman" w:cs="Times New Roman"/>
        </w:rPr>
        <w:t>.</w:t>
      </w:r>
      <w:r w:rsidR="004744FA">
        <w:rPr>
          <w:rFonts w:ascii="Times New Roman" w:hAnsi="Times New Roman" w:cs="Times New Roman"/>
        </w:rPr>
        <w:t xml:space="preserve"> </w:t>
      </w:r>
      <w:r w:rsidR="00BD4CD0">
        <w:rPr>
          <w:rFonts w:ascii="Times New Roman" w:hAnsi="Times New Roman" w:cs="Times New Roman"/>
        </w:rPr>
        <w:t>Izmjena i dopuna</w:t>
      </w:r>
      <w:r w:rsidR="008A0987">
        <w:rPr>
          <w:rFonts w:ascii="Times New Roman" w:hAnsi="Times New Roman" w:cs="Times New Roman"/>
        </w:rPr>
        <w:t xml:space="preserve"> Financijsk</w:t>
      </w:r>
      <w:r w:rsidR="008A375C">
        <w:rPr>
          <w:rFonts w:ascii="Times New Roman" w:hAnsi="Times New Roman" w:cs="Times New Roman"/>
        </w:rPr>
        <w:t>og</w:t>
      </w:r>
      <w:r w:rsidR="008A0987">
        <w:rPr>
          <w:rFonts w:ascii="Times New Roman" w:hAnsi="Times New Roman" w:cs="Times New Roman"/>
        </w:rPr>
        <w:t xml:space="preserve"> plan</w:t>
      </w:r>
      <w:r w:rsidR="008A375C">
        <w:rPr>
          <w:rFonts w:ascii="Times New Roman" w:hAnsi="Times New Roman" w:cs="Times New Roman"/>
        </w:rPr>
        <w:t>a</w:t>
      </w:r>
      <w:r w:rsidR="008A0987">
        <w:rPr>
          <w:rFonts w:ascii="Times New Roman" w:hAnsi="Times New Roman" w:cs="Times New Roman"/>
        </w:rPr>
        <w:t xml:space="preserve">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 xml:space="preserve">. iznosi </w:t>
      </w:r>
      <w:r w:rsidR="00344A3F">
        <w:rPr>
          <w:rFonts w:ascii="Times New Roman" w:hAnsi="Times New Roman" w:cs="Times New Roman"/>
        </w:rPr>
        <w:t>1.780.</w:t>
      </w:r>
      <w:r w:rsidR="005E576D">
        <w:rPr>
          <w:rFonts w:ascii="Times New Roman" w:hAnsi="Times New Roman" w:cs="Times New Roman"/>
        </w:rPr>
        <w:t>9</w:t>
      </w:r>
      <w:r w:rsidR="00344A3F">
        <w:rPr>
          <w:rFonts w:ascii="Times New Roman" w:hAnsi="Times New Roman" w:cs="Times New Roman"/>
        </w:rPr>
        <w:t>31,00</w:t>
      </w:r>
      <w:r w:rsidR="008A0987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 </w:t>
      </w:r>
      <w:r w:rsidR="00EB374D">
        <w:rPr>
          <w:rFonts w:ascii="Times New Roman" w:hAnsi="Times New Roman" w:cs="Times New Roman"/>
        </w:rPr>
        <w:t xml:space="preserve"> što je </w:t>
      </w:r>
      <w:r w:rsidR="005E576D">
        <w:rPr>
          <w:rFonts w:ascii="Times New Roman" w:hAnsi="Times New Roman" w:cs="Times New Roman"/>
        </w:rPr>
        <w:t>400</w:t>
      </w:r>
      <w:r w:rsidR="00344A3F">
        <w:rPr>
          <w:rFonts w:ascii="Times New Roman" w:hAnsi="Times New Roman" w:cs="Times New Roman"/>
        </w:rPr>
        <w:t>,00</w:t>
      </w:r>
      <w:r w:rsidR="008A0987">
        <w:rPr>
          <w:rFonts w:ascii="Times New Roman" w:hAnsi="Times New Roman" w:cs="Times New Roman"/>
        </w:rPr>
        <w:t xml:space="preserve"> eura</w:t>
      </w:r>
      <w:r w:rsidR="004744FA">
        <w:rPr>
          <w:rFonts w:ascii="Times New Roman" w:hAnsi="Times New Roman" w:cs="Times New Roman"/>
        </w:rPr>
        <w:t xml:space="preserve"> više</w:t>
      </w:r>
      <w:r>
        <w:rPr>
          <w:rFonts w:ascii="Times New Roman" w:hAnsi="Times New Roman" w:cs="Times New Roman"/>
        </w:rPr>
        <w:t xml:space="preserve"> u odn</w:t>
      </w:r>
      <w:r w:rsidR="008A0987">
        <w:rPr>
          <w:rFonts w:ascii="Times New Roman" w:hAnsi="Times New Roman" w:cs="Times New Roman"/>
        </w:rPr>
        <w:t xml:space="preserve">osu na </w:t>
      </w:r>
      <w:r w:rsidR="005E576D">
        <w:rPr>
          <w:rFonts w:ascii="Times New Roman" w:hAnsi="Times New Roman" w:cs="Times New Roman"/>
        </w:rPr>
        <w:t>I. izmjene i dopune financijskog plana</w:t>
      </w:r>
      <w:r w:rsidR="008A0987">
        <w:rPr>
          <w:rFonts w:ascii="Times New Roman" w:hAnsi="Times New Roman" w:cs="Times New Roman"/>
        </w:rPr>
        <w:t xml:space="preserve"> za 202</w:t>
      </w:r>
      <w:r w:rsidR="00344A3F">
        <w:rPr>
          <w:rFonts w:ascii="Times New Roman" w:hAnsi="Times New Roman" w:cs="Times New Roman"/>
        </w:rPr>
        <w:t>5</w:t>
      </w:r>
      <w:r w:rsidR="008D3B60">
        <w:rPr>
          <w:rFonts w:ascii="Times New Roman" w:hAnsi="Times New Roman" w:cs="Times New Roman"/>
        </w:rPr>
        <w:t xml:space="preserve">.g a izrađen je sa uravnoteženim prihodim i rashodima, </w:t>
      </w:r>
      <w:r w:rsidR="00E56364">
        <w:rPr>
          <w:rFonts w:ascii="Times New Roman" w:hAnsi="Times New Roman" w:cs="Times New Roman"/>
        </w:rPr>
        <w:t>prema niže navedenim programima.</w:t>
      </w:r>
    </w:p>
    <w:p w14:paraId="539CA872" w14:textId="77777777" w:rsidR="00D72FAA" w:rsidRDefault="00D72FAA" w:rsidP="00D72FAA">
      <w:pPr>
        <w:shd w:val="clear" w:color="auto" w:fill="D9D9D9" w:themeFill="background1" w:themeFillShade="D9"/>
        <w:rPr>
          <w:rFonts w:ascii="Times New Roman" w:hAnsi="Times New Roman" w:cs="Times New Roman"/>
        </w:rPr>
      </w:pPr>
    </w:p>
    <w:p w14:paraId="3BF706C4" w14:textId="77777777" w:rsidR="00E80C20" w:rsidRPr="008062C9" w:rsidRDefault="003451EA" w:rsidP="00D72FAA">
      <w:pPr>
        <w:shd w:val="clear" w:color="auto" w:fill="D9D9D9" w:themeFill="background1" w:themeFillShade="D9"/>
        <w:rPr>
          <w:rFonts w:ascii="Times New Roman" w:hAnsi="Times New Roman" w:cs="Times New Roman"/>
        </w:rPr>
      </w:pPr>
      <w:r w:rsidRPr="008062C9">
        <w:rPr>
          <w:rFonts w:ascii="Times New Roman" w:hAnsi="Times New Roman" w:cs="Times New Roman"/>
        </w:rPr>
        <w:t xml:space="preserve"> </w:t>
      </w:r>
      <w:r w:rsidR="00E80C20" w:rsidRPr="00D83CFB">
        <w:rPr>
          <w:rFonts w:ascii="Times New Roman" w:hAnsi="Times New Roman" w:cs="Times New Roman"/>
          <w:b/>
        </w:rPr>
        <w:t xml:space="preserve">PROGRAM: 3002 </w:t>
      </w:r>
      <w:r w:rsidR="008062C9" w:rsidRPr="00D83CFB">
        <w:rPr>
          <w:rFonts w:ascii="Times New Roman" w:hAnsi="Times New Roman" w:cs="Times New Roman"/>
          <w:b/>
        </w:rPr>
        <w:t>Osnovni program osnovnoškolskog odgoja i obrazovanja provodit će se kroz slijedeće aktivnosti</w:t>
      </w:r>
      <w:r w:rsidR="008062C9">
        <w:rPr>
          <w:rFonts w:ascii="Times New Roman" w:hAnsi="Times New Roman" w:cs="Times New Roman"/>
        </w:rPr>
        <w:t>:</w:t>
      </w:r>
    </w:p>
    <w:p w14:paraId="0ECB4F85" w14:textId="7760AFB3" w:rsidR="00E80C20" w:rsidRPr="008062C9" w:rsidRDefault="00E80C20" w:rsidP="008062C9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8062C9">
        <w:rPr>
          <w:rFonts w:ascii="Times New Roman" w:hAnsi="Times New Roman"/>
          <w:b/>
        </w:rPr>
        <w:t>Aktivnost: Decentralizirane funkcije osnovnog školstva</w:t>
      </w:r>
      <w:r w:rsidR="008062C9">
        <w:rPr>
          <w:rFonts w:ascii="Times New Roman" w:hAnsi="Times New Roman"/>
          <w:b/>
        </w:rPr>
        <w:t xml:space="preserve"> –</w:t>
      </w:r>
      <w:r w:rsidR="000062DA">
        <w:rPr>
          <w:rFonts w:ascii="Times New Roman" w:hAnsi="Times New Roman"/>
          <w:b/>
        </w:rPr>
        <w:t xml:space="preserve"> </w:t>
      </w:r>
      <w:r w:rsidR="008062C9">
        <w:rPr>
          <w:rFonts w:ascii="Times New Roman" w:hAnsi="Times New Roman"/>
        </w:rPr>
        <w:t>decentralizacija,</w:t>
      </w:r>
      <w:r w:rsidR="000062DA">
        <w:rPr>
          <w:rFonts w:ascii="Times New Roman" w:hAnsi="Times New Roman"/>
        </w:rPr>
        <w:t xml:space="preserve"> za navedenu aktivnost planirana su sredstva u iznosu </w:t>
      </w:r>
      <w:r w:rsidR="000062DA" w:rsidRPr="002F633B">
        <w:rPr>
          <w:rFonts w:ascii="Times New Roman" w:hAnsi="Times New Roman"/>
        </w:rPr>
        <w:t xml:space="preserve">od </w:t>
      </w:r>
      <w:r w:rsidR="008062C9" w:rsidRPr="002F633B">
        <w:rPr>
          <w:rFonts w:ascii="Times New Roman" w:hAnsi="Times New Roman"/>
        </w:rPr>
        <w:t xml:space="preserve"> </w:t>
      </w:r>
      <w:r w:rsidR="00116A60">
        <w:rPr>
          <w:rFonts w:ascii="Times New Roman" w:hAnsi="Times New Roman"/>
        </w:rPr>
        <w:t>4</w:t>
      </w:r>
      <w:r w:rsidR="00344A3F">
        <w:rPr>
          <w:rFonts w:ascii="Times New Roman" w:hAnsi="Times New Roman"/>
        </w:rPr>
        <w:t>4</w:t>
      </w:r>
      <w:r w:rsidR="00116A60">
        <w:rPr>
          <w:rFonts w:ascii="Times New Roman" w:hAnsi="Times New Roman"/>
        </w:rPr>
        <w:t>.555,00</w:t>
      </w:r>
      <w:r w:rsidR="008A0987">
        <w:rPr>
          <w:rFonts w:ascii="Times New Roman" w:hAnsi="Times New Roman"/>
        </w:rPr>
        <w:t xml:space="preserve"> eura </w:t>
      </w:r>
      <w:r w:rsidR="000062DA" w:rsidRPr="002F633B">
        <w:rPr>
          <w:rFonts w:ascii="Times New Roman" w:hAnsi="Times New Roman"/>
        </w:rPr>
        <w:t xml:space="preserve"> </w:t>
      </w:r>
      <w:r w:rsidR="00066B66">
        <w:rPr>
          <w:rFonts w:ascii="Times New Roman" w:hAnsi="Times New Roman"/>
        </w:rPr>
        <w:t xml:space="preserve">i </w:t>
      </w:r>
      <w:r w:rsidR="00595E37">
        <w:rPr>
          <w:rFonts w:ascii="Times New Roman" w:hAnsi="Times New Roman"/>
        </w:rPr>
        <w:t>ostala su nepromijenjena</w:t>
      </w:r>
    </w:p>
    <w:p w14:paraId="7A8222D2" w14:textId="037CE71B" w:rsidR="0042459E" w:rsidRPr="006D514C" w:rsidRDefault="00B40990" w:rsidP="00A9265B">
      <w:pPr>
        <w:spacing w:after="0"/>
        <w:jc w:val="both"/>
        <w:rPr>
          <w:rFonts w:ascii="Times New Roman" w:hAnsi="Times New Roman"/>
        </w:rPr>
      </w:pPr>
      <w:r w:rsidRPr="006D514C">
        <w:rPr>
          <w:rFonts w:ascii="Times New Roman" w:hAnsi="Times New Roman"/>
        </w:rPr>
        <w:t xml:space="preserve">Metodološki manjak po ovom programu i izvoru </w:t>
      </w:r>
      <w:r w:rsidR="00344A3F" w:rsidRPr="006D514C">
        <w:rPr>
          <w:rFonts w:ascii="Times New Roman" w:hAnsi="Times New Roman"/>
        </w:rPr>
        <w:t>51</w:t>
      </w:r>
      <w:r w:rsidRPr="006D514C">
        <w:rPr>
          <w:rFonts w:ascii="Times New Roman" w:hAnsi="Times New Roman"/>
        </w:rPr>
        <w:t xml:space="preserve"> iznosi </w:t>
      </w:r>
      <w:r w:rsidR="00D50319" w:rsidRPr="006D514C">
        <w:rPr>
          <w:rFonts w:ascii="Times New Roman" w:hAnsi="Times New Roman"/>
        </w:rPr>
        <w:t>-</w:t>
      </w:r>
      <w:r w:rsidR="00344A3F" w:rsidRPr="006D514C">
        <w:rPr>
          <w:rFonts w:ascii="Times New Roman" w:hAnsi="Times New Roman"/>
        </w:rPr>
        <w:t>1.249,71</w:t>
      </w:r>
      <w:r w:rsidR="004C2B36" w:rsidRPr="006D514C">
        <w:rPr>
          <w:rFonts w:ascii="Times New Roman" w:hAnsi="Times New Roman"/>
        </w:rPr>
        <w:t xml:space="preserve"> eura</w:t>
      </w:r>
      <w:r w:rsidR="001140BE" w:rsidRPr="006D514C">
        <w:rPr>
          <w:rFonts w:ascii="Times New Roman" w:hAnsi="Times New Roman"/>
        </w:rPr>
        <w:t xml:space="preserve"> </w:t>
      </w:r>
      <w:r w:rsidR="00CF63F2" w:rsidRPr="006D514C">
        <w:rPr>
          <w:rFonts w:ascii="Times New Roman" w:hAnsi="Times New Roman"/>
        </w:rPr>
        <w:t xml:space="preserve">za navedeni </w:t>
      </w:r>
      <w:r w:rsidRPr="006D514C">
        <w:rPr>
          <w:rFonts w:ascii="Times New Roman" w:hAnsi="Times New Roman"/>
        </w:rPr>
        <w:t xml:space="preserve"> iznos povećani</w:t>
      </w:r>
      <w:r w:rsidR="00CF63F2" w:rsidRPr="006D514C">
        <w:rPr>
          <w:rFonts w:ascii="Times New Roman" w:hAnsi="Times New Roman"/>
        </w:rPr>
        <w:t xml:space="preserve"> su</w:t>
      </w:r>
      <w:r w:rsidRPr="006D514C">
        <w:rPr>
          <w:rFonts w:ascii="Times New Roman" w:hAnsi="Times New Roman"/>
        </w:rPr>
        <w:t xml:space="preserve"> prihod od decentralizacije</w:t>
      </w:r>
      <w:r w:rsidR="00A7295E" w:rsidRPr="006D514C">
        <w:rPr>
          <w:rFonts w:ascii="Times New Roman" w:hAnsi="Times New Roman"/>
        </w:rPr>
        <w:t xml:space="preserve"> </w:t>
      </w:r>
    </w:p>
    <w:p w14:paraId="5870B1F6" w14:textId="6D7EC527" w:rsidR="00883DDD" w:rsidRDefault="00883DDD" w:rsidP="00A9265B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883DDD">
        <w:rPr>
          <w:rFonts w:ascii="Times New Roman" w:hAnsi="Times New Roman" w:cs="Times New Roman"/>
          <w:u w:val="single"/>
        </w:rPr>
        <w:t>Opis i cilj programa</w:t>
      </w:r>
      <w:r w:rsidR="0042459E">
        <w:rPr>
          <w:rFonts w:ascii="Times New Roman" w:hAnsi="Times New Roman" w:cs="Times New Roman"/>
          <w:u w:val="single"/>
        </w:rPr>
        <w:t>:</w:t>
      </w:r>
    </w:p>
    <w:p w14:paraId="76681D61" w14:textId="03C5B5DC" w:rsidR="0004723A" w:rsidRDefault="00883DDD" w:rsidP="00A9265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883DDD">
        <w:rPr>
          <w:rFonts w:ascii="Times New Roman" w:hAnsi="Times New Roman" w:cs="Times New Roman"/>
        </w:rPr>
        <w:t>Program obuhvaća</w:t>
      </w:r>
      <w:r>
        <w:rPr>
          <w:rFonts w:ascii="Times New Roman" w:hAnsi="Times New Roman" w:cs="Times New Roman"/>
        </w:rPr>
        <w:t xml:space="preserve"> aktivnosti Škole koje omogućuju</w:t>
      </w:r>
      <w:r w:rsidR="0004723A">
        <w:rPr>
          <w:rFonts w:ascii="Times New Roman" w:hAnsi="Times New Roman" w:cs="Times New Roman"/>
        </w:rPr>
        <w:t xml:space="preserve"> ostvarivanje programa osnovnog</w:t>
      </w:r>
      <w:r w:rsidR="00DD7E90">
        <w:rPr>
          <w:rFonts w:ascii="Times New Roman" w:hAnsi="Times New Roman" w:cs="Times New Roman"/>
        </w:rPr>
        <w:t xml:space="preserve"> i srednjeg </w:t>
      </w:r>
      <w:r w:rsidR="0004723A">
        <w:rPr>
          <w:rFonts w:ascii="Times New Roman" w:hAnsi="Times New Roman" w:cs="Times New Roman"/>
        </w:rPr>
        <w:t xml:space="preserve"> glazbenog obrazovanja </w:t>
      </w:r>
      <w:r w:rsidR="00373051">
        <w:rPr>
          <w:rFonts w:ascii="Times New Roman" w:hAnsi="Times New Roman" w:cs="Times New Roman"/>
        </w:rPr>
        <w:t xml:space="preserve">i plesnog obrazovanja </w:t>
      </w:r>
      <w:r w:rsidR="0004723A">
        <w:rPr>
          <w:rFonts w:ascii="Times New Roman" w:hAnsi="Times New Roman" w:cs="Times New Roman"/>
        </w:rPr>
        <w:t xml:space="preserve">za darovitu djecu. </w:t>
      </w:r>
      <w:r>
        <w:rPr>
          <w:rFonts w:ascii="Times New Roman" w:hAnsi="Times New Roman" w:cs="Times New Roman"/>
        </w:rPr>
        <w:t xml:space="preserve"> </w:t>
      </w:r>
      <w:r w:rsidRPr="00D72FAA">
        <w:rPr>
          <w:rFonts w:ascii="Times New Roman" w:hAnsi="Times New Roman" w:cs="Times New Roman"/>
        </w:rPr>
        <w:t>Cilj</w:t>
      </w:r>
      <w:r w:rsidR="0004723A" w:rsidRPr="00D72FAA">
        <w:rPr>
          <w:rFonts w:ascii="Times New Roman" w:hAnsi="Times New Roman" w:cs="Times New Roman"/>
        </w:rPr>
        <w:t>evi programa su</w:t>
      </w:r>
      <w:r w:rsidR="0004723A" w:rsidRPr="00D72FAA">
        <w:rPr>
          <w:rFonts w:ascii="Times New Roman" w:eastAsia="Times New Roman" w:hAnsi="Times New Roman" w:cs="Times New Roman"/>
          <w:lang w:eastAsia="hr-HR"/>
        </w:rPr>
        <w:t xml:space="preserve"> usmjereni  na kontinuirani razvoj učenika kao duhovnog, tjelesnog, moralnog, intelektualnog i društvenog bića u skladu s njegovim sposobnostima i sklonostima.</w:t>
      </w:r>
    </w:p>
    <w:p w14:paraId="005A158F" w14:textId="77777777" w:rsidR="0042459E" w:rsidRPr="00D72FAA" w:rsidRDefault="0042459E" w:rsidP="00A9265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190F6E7" w14:textId="7F070172" w:rsidR="002A0552" w:rsidRDefault="002A0552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navedenu aktivnost planirana su </w:t>
      </w:r>
      <w:r w:rsidR="00D72FAA">
        <w:rPr>
          <w:rFonts w:ascii="Times New Roman" w:hAnsi="Times New Roman" w:cs="Times New Roman"/>
        </w:rPr>
        <w:t>rashodi</w:t>
      </w:r>
      <w:r>
        <w:rPr>
          <w:rFonts w:ascii="Times New Roman" w:hAnsi="Times New Roman" w:cs="Times New Roman"/>
        </w:rPr>
        <w:t xml:space="preserve"> na kontu 321- sredstva naknade troškova zaposlenima</w:t>
      </w:r>
      <w:r w:rsidR="007B13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sl</w:t>
      </w:r>
      <w:r w:rsidR="007B1362">
        <w:rPr>
          <w:rFonts w:ascii="Times New Roman" w:hAnsi="Times New Roman" w:cs="Times New Roman"/>
        </w:rPr>
        <w:t>užbena putovanja</w:t>
      </w:r>
      <w:r>
        <w:rPr>
          <w:rFonts w:ascii="Times New Roman" w:hAnsi="Times New Roman" w:cs="Times New Roman"/>
        </w:rPr>
        <w:t xml:space="preserve">,  na kontu 322 </w:t>
      </w:r>
      <w:r w:rsidR="007B1362">
        <w:rPr>
          <w:rFonts w:ascii="Times New Roman" w:hAnsi="Times New Roman" w:cs="Times New Roman"/>
        </w:rPr>
        <w:t xml:space="preserve">-sredstva za uredski materijal, energiju, materija i dijelove za tekuće i investicijsko održavanje, sitni inventar. </w:t>
      </w:r>
      <w:r>
        <w:rPr>
          <w:rFonts w:ascii="Times New Roman" w:hAnsi="Times New Roman" w:cs="Times New Roman"/>
        </w:rPr>
        <w:t>Na kontu 323</w:t>
      </w:r>
      <w:r w:rsidR="007B1362">
        <w:rPr>
          <w:rFonts w:ascii="Times New Roman" w:hAnsi="Times New Roman" w:cs="Times New Roman"/>
        </w:rPr>
        <w:t xml:space="preserve">-sredstva za </w:t>
      </w:r>
      <w:r>
        <w:rPr>
          <w:rFonts w:ascii="Times New Roman" w:hAnsi="Times New Roman" w:cs="Times New Roman"/>
        </w:rPr>
        <w:t xml:space="preserve"> usluge telefona i pošte</w:t>
      </w:r>
      <w:r w:rsidR="007B1362">
        <w:rPr>
          <w:rFonts w:ascii="Times New Roman" w:hAnsi="Times New Roman" w:cs="Times New Roman"/>
        </w:rPr>
        <w:t xml:space="preserve">, usluge tekućeg i investicijskog održavanja, usluge promidžbe i informiranja, komunalne usluge, zakupnina i </w:t>
      </w:r>
      <w:r w:rsidR="00A90485">
        <w:rPr>
          <w:rFonts w:ascii="Times New Roman" w:hAnsi="Times New Roman" w:cs="Times New Roman"/>
        </w:rPr>
        <w:t>najamnina, zdravstvene usluge, i</w:t>
      </w:r>
      <w:r w:rsidR="007B1362">
        <w:rPr>
          <w:rFonts w:ascii="Times New Roman" w:hAnsi="Times New Roman" w:cs="Times New Roman"/>
        </w:rPr>
        <w:t>ntelektualne usluge, računalne usluge. Na 329 - sredstva za premije osiguranja, reprezentaciju, članarina, pristojbe i naknade te ostali nespomenuti rashodi poslovanja.</w:t>
      </w:r>
      <w:r w:rsidR="002F633B">
        <w:rPr>
          <w:rFonts w:ascii="Times New Roman" w:hAnsi="Times New Roman" w:cs="Times New Roman"/>
        </w:rPr>
        <w:t xml:space="preserve"> </w:t>
      </w:r>
    </w:p>
    <w:p w14:paraId="4526A02B" w14:textId="77777777" w:rsidR="007A5E90" w:rsidRDefault="007A5E90" w:rsidP="00E933B0">
      <w:pPr>
        <w:spacing w:after="0"/>
        <w:jc w:val="both"/>
        <w:rPr>
          <w:rFonts w:ascii="Times New Roman" w:hAnsi="Times New Roman" w:cs="Times New Roman"/>
        </w:rPr>
      </w:pPr>
    </w:p>
    <w:p w14:paraId="75DB6B02" w14:textId="750367DF" w:rsidR="008E688B" w:rsidRDefault="00D83CFB" w:rsidP="00220E2A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  <w:r w:rsidRPr="00D83CFB">
        <w:rPr>
          <w:rFonts w:ascii="Times New Roman" w:hAnsi="Times New Roman" w:cs="Times New Roman"/>
          <w:b/>
        </w:rPr>
        <w:t>PROGRAM:</w:t>
      </w:r>
      <w:r w:rsidR="00373051">
        <w:rPr>
          <w:rFonts w:ascii="Times New Roman" w:hAnsi="Times New Roman" w:cs="Times New Roman"/>
          <w:b/>
        </w:rPr>
        <w:t xml:space="preserve"> </w:t>
      </w:r>
      <w:r w:rsidRPr="00D83CFB">
        <w:rPr>
          <w:rFonts w:ascii="Times New Roman" w:hAnsi="Times New Roman" w:cs="Times New Roman"/>
          <w:b/>
        </w:rPr>
        <w:t>3003 Dodatni program odgoja i obrazovanja</w:t>
      </w:r>
      <w:r>
        <w:rPr>
          <w:rFonts w:ascii="Times New Roman" w:hAnsi="Times New Roman" w:cs="Times New Roman"/>
          <w:b/>
        </w:rPr>
        <w:t xml:space="preserve"> provodit će se kroz slijedeće aktivnosti:</w:t>
      </w:r>
    </w:p>
    <w:p w14:paraId="7DA52050" w14:textId="2047EC6E" w:rsidR="00220E2A" w:rsidRPr="00E56364" w:rsidRDefault="00E56364" w:rsidP="00E56364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Aktivnost: Slobodne aktivnosti i školska natjecanja-</w:t>
      </w:r>
      <w:r>
        <w:rPr>
          <w:rFonts w:ascii="Times New Roman" w:hAnsi="Times New Roman"/>
        </w:rPr>
        <w:t>opći prihodi i primici, za navedenu aktivnost</w:t>
      </w:r>
      <w:r w:rsidR="001140BE">
        <w:rPr>
          <w:rFonts w:ascii="Times New Roman" w:hAnsi="Times New Roman"/>
        </w:rPr>
        <w:t xml:space="preserve"> planirano je </w:t>
      </w:r>
      <w:r w:rsidR="00344A3F">
        <w:rPr>
          <w:rFonts w:ascii="Times New Roman" w:hAnsi="Times New Roman"/>
        </w:rPr>
        <w:t>300,</w:t>
      </w:r>
      <w:r w:rsidR="0042459E">
        <w:rPr>
          <w:rFonts w:ascii="Times New Roman" w:hAnsi="Times New Roman"/>
        </w:rPr>
        <w:t>00</w:t>
      </w:r>
      <w:r w:rsidR="004C2B36">
        <w:rPr>
          <w:rFonts w:ascii="Times New Roman" w:hAnsi="Times New Roman"/>
        </w:rPr>
        <w:t xml:space="preserve"> eura</w:t>
      </w:r>
      <w:r w:rsidR="001140BE">
        <w:rPr>
          <w:rFonts w:ascii="Times New Roman" w:hAnsi="Times New Roman"/>
        </w:rPr>
        <w:t xml:space="preserve"> </w:t>
      </w:r>
      <w:r w:rsidR="00686D25">
        <w:rPr>
          <w:rFonts w:ascii="Times New Roman" w:hAnsi="Times New Roman"/>
        </w:rPr>
        <w:t>i to za isplate nagrada za naj</w:t>
      </w:r>
      <w:r w:rsidR="008D4B1C">
        <w:rPr>
          <w:rFonts w:ascii="Times New Roman" w:hAnsi="Times New Roman"/>
        </w:rPr>
        <w:t>boljeg</w:t>
      </w:r>
      <w:r w:rsidR="00686D25">
        <w:rPr>
          <w:rFonts w:ascii="Times New Roman" w:hAnsi="Times New Roman"/>
        </w:rPr>
        <w:t xml:space="preserve"> učitelja u školskoj godini koji su nagrađeni od strane Učiteljskog</w:t>
      </w:r>
      <w:r w:rsidR="00373051">
        <w:rPr>
          <w:rFonts w:ascii="Times New Roman" w:hAnsi="Times New Roman"/>
        </w:rPr>
        <w:t xml:space="preserve"> i Nastavničkog </w:t>
      </w:r>
      <w:r w:rsidR="00686D25">
        <w:rPr>
          <w:rFonts w:ascii="Times New Roman" w:hAnsi="Times New Roman"/>
        </w:rPr>
        <w:t xml:space="preserve"> vijeć</w:t>
      </w:r>
      <w:r w:rsidR="00373051">
        <w:rPr>
          <w:rFonts w:ascii="Times New Roman" w:hAnsi="Times New Roman"/>
        </w:rPr>
        <w:t xml:space="preserve">a, </w:t>
      </w:r>
      <w:r w:rsidR="00686D25">
        <w:rPr>
          <w:rFonts w:ascii="Times New Roman" w:hAnsi="Times New Roman"/>
        </w:rPr>
        <w:t xml:space="preserve"> a isplata ide iz Proračuna Grada</w:t>
      </w:r>
      <w:r w:rsidR="008851A8">
        <w:rPr>
          <w:rFonts w:ascii="Times New Roman" w:hAnsi="Times New Roman"/>
        </w:rPr>
        <w:t xml:space="preserve"> izvor 1</w:t>
      </w:r>
      <w:r w:rsidR="00344A3F">
        <w:rPr>
          <w:rFonts w:ascii="Times New Roman" w:hAnsi="Times New Roman"/>
        </w:rPr>
        <w:t>1</w:t>
      </w:r>
      <w:r w:rsidR="008851A8">
        <w:rPr>
          <w:rFonts w:ascii="Times New Roman" w:hAnsi="Times New Roman"/>
        </w:rPr>
        <w:t>.</w:t>
      </w:r>
    </w:p>
    <w:p w14:paraId="42D58F2E" w14:textId="5F84C092" w:rsidR="00D83CFB" w:rsidRPr="00B73CF8" w:rsidRDefault="00D83CFB" w:rsidP="00B73CF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B73CF8">
        <w:rPr>
          <w:rFonts w:ascii="Times New Roman" w:hAnsi="Times New Roman"/>
          <w:b/>
        </w:rPr>
        <w:lastRenderedPageBreak/>
        <w:t>Aktivnost: Redovna djelatnost osnovnih škola</w:t>
      </w:r>
      <w:r w:rsidR="00B73CF8">
        <w:rPr>
          <w:rFonts w:ascii="Times New Roman" w:hAnsi="Times New Roman"/>
          <w:b/>
        </w:rPr>
        <w:t>-</w:t>
      </w:r>
      <w:r w:rsidR="00B73CF8" w:rsidRPr="00B73CF8">
        <w:rPr>
          <w:rFonts w:ascii="Times New Roman" w:hAnsi="Times New Roman"/>
        </w:rPr>
        <w:t xml:space="preserve">opći prihodi i primici </w:t>
      </w:r>
      <w:r w:rsidR="00373051">
        <w:rPr>
          <w:rFonts w:ascii="Times New Roman" w:hAnsi="Times New Roman"/>
        </w:rPr>
        <w:t xml:space="preserve">od </w:t>
      </w:r>
      <w:r w:rsidR="00B73CF8" w:rsidRPr="00B73CF8">
        <w:rPr>
          <w:rFonts w:ascii="Times New Roman" w:hAnsi="Times New Roman"/>
        </w:rPr>
        <w:t>grad</w:t>
      </w:r>
      <w:r w:rsidR="00373051">
        <w:rPr>
          <w:rFonts w:ascii="Times New Roman" w:hAnsi="Times New Roman"/>
        </w:rPr>
        <w:t xml:space="preserve">a </w:t>
      </w:r>
      <w:r w:rsidR="00B73CF8">
        <w:rPr>
          <w:rFonts w:ascii="Times New Roman" w:hAnsi="Times New Roman"/>
        </w:rPr>
        <w:t xml:space="preserve">za </w:t>
      </w:r>
      <w:r w:rsidR="00686D25">
        <w:rPr>
          <w:rFonts w:ascii="Times New Roman" w:hAnsi="Times New Roman"/>
        </w:rPr>
        <w:t xml:space="preserve">navedenu aktivnost planirana su </w:t>
      </w:r>
      <w:r w:rsidR="00B73CF8">
        <w:rPr>
          <w:rFonts w:ascii="Times New Roman" w:hAnsi="Times New Roman"/>
        </w:rPr>
        <w:t xml:space="preserve">sredstva u iznosu od  </w:t>
      </w:r>
      <w:r w:rsidR="008851A8">
        <w:rPr>
          <w:rFonts w:ascii="Times New Roman" w:hAnsi="Times New Roman"/>
        </w:rPr>
        <w:t>3.500,00</w:t>
      </w:r>
      <w:r w:rsidR="004C2B36">
        <w:rPr>
          <w:rFonts w:ascii="Times New Roman" w:hAnsi="Times New Roman"/>
        </w:rPr>
        <w:t xml:space="preserve"> eura</w:t>
      </w:r>
      <w:r w:rsidR="004744FA">
        <w:rPr>
          <w:rFonts w:ascii="Times New Roman" w:hAnsi="Times New Roman"/>
        </w:rPr>
        <w:t xml:space="preserve">. </w:t>
      </w:r>
      <w:r w:rsidR="001140BE">
        <w:rPr>
          <w:rFonts w:ascii="Times New Roman" w:hAnsi="Times New Roman"/>
        </w:rPr>
        <w:t>Planirana sredstva će se</w:t>
      </w:r>
      <w:r w:rsidR="00373051">
        <w:rPr>
          <w:rFonts w:ascii="Times New Roman" w:hAnsi="Times New Roman"/>
        </w:rPr>
        <w:t xml:space="preserve"> utrošiti</w:t>
      </w:r>
      <w:r w:rsidR="001140BE">
        <w:rPr>
          <w:rFonts w:ascii="Times New Roman" w:hAnsi="Times New Roman"/>
        </w:rPr>
        <w:t xml:space="preserve"> za zdravstvene usluge  pr</w:t>
      </w:r>
      <w:r w:rsidR="00E6687D">
        <w:rPr>
          <w:rFonts w:ascii="Times New Roman" w:hAnsi="Times New Roman"/>
        </w:rPr>
        <w:t>ema sklopljenoj polici sa Croati</w:t>
      </w:r>
      <w:r w:rsidR="00EB1CA3">
        <w:rPr>
          <w:rFonts w:ascii="Times New Roman" w:hAnsi="Times New Roman"/>
        </w:rPr>
        <w:t xml:space="preserve">a osiguranjem </w:t>
      </w:r>
      <w:r w:rsidR="008851A8">
        <w:rPr>
          <w:rFonts w:ascii="Times New Roman" w:hAnsi="Times New Roman"/>
        </w:rPr>
        <w:t>.</w:t>
      </w:r>
    </w:p>
    <w:p w14:paraId="15E2A3C4" w14:textId="1FEE9B0C" w:rsidR="00B73CF8" w:rsidRPr="008D4B1C" w:rsidRDefault="00D83CFB" w:rsidP="00B73CF8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/>
          <w:b/>
        </w:rPr>
      </w:pPr>
      <w:r w:rsidRPr="00B73CF8">
        <w:rPr>
          <w:rFonts w:ascii="Times New Roman" w:hAnsi="Times New Roman"/>
          <w:b/>
        </w:rPr>
        <w:t>Aktivnost: Unapređenje standarda u školama -izvor Vlastiti prihodi</w:t>
      </w:r>
      <w:r w:rsidR="00B73CF8">
        <w:rPr>
          <w:rFonts w:ascii="Times New Roman" w:hAnsi="Times New Roman"/>
          <w:b/>
        </w:rPr>
        <w:t>, višak i pomoći</w:t>
      </w:r>
      <w:r w:rsidRPr="00B73CF8">
        <w:rPr>
          <w:rFonts w:ascii="Times New Roman" w:hAnsi="Times New Roman"/>
          <w:b/>
        </w:rPr>
        <w:t xml:space="preserve"> </w:t>
      </w:r>
      <w:r w:rsidR="00B73CF8">
        <w:rPr>
          <w:rFonts w:ascii="Times New Roman" w:hAnsi="Times New Roman"/>
        </w:rPr>
        <w:t xml:space="preserve">za navedenu aktivnost planirana su sredstva u iznosu od  </w:t>
      </w:r>
      <w:r w:rsidR="005E576D">
        <w:rPr>
          <w:rFonts w:ascii="Times New Roman" w:hAnsi="Times New Roman"/>
        </w:rPr>
        <w:t>462.176,00</w:t>
      </w:r>
      <w:r w:rsidR="004C2B36">
        <w:rPr>
          <w:rFonts w:ascii="Times New Roman" w:hAnsi="Times New Roman"/>
        </w:rPr>
        <w:t xml:space="preserve"> eura </w:t>
      </w:r>
      <w:r w:rsidR="00D0652F">
        <w:rPr>
          <w:rFonts w:ascii="Times New Roman" w:hAnsi="Times New Roman"/>
        </w:rPr>
        <w:t>i</w:t>
      </w:r>
      <w:r w:rsidR="00B73CF8">
        <w:rPr>
          <w:rFonts w:ascii="Times New Roman" w:hAnsi="Times New Roman"/>
        </w:rPr>
        <w:t xml:space="preserve"> ovim izmjenama i dopunam</w:t>
      </w:r>
      <w:r w:rsidR="00EB374D">
        <w:rPr>
          <w:rFonts w:ascii="Times New Roman" w:hAnsi="Times New Roman"/>
        </w:rPr>
        <w:t xml:space="preserve">a povećavaju se za </w:t>
      </w:r>
      <w:r w:rsidR="005E576D">
        <w:rPr>
          <w:rFonts w:ascii="Times New Roman" w:hAnsi="Times New Roman"/>
        </w:rPr>
        <w:t>400</w:t>
      </w:r>
      <w:r w:rsidR="00344A3F">
        <w:rPr>
          <w:rFonts w:ascii="Times New Roman" w:hAnsi="Times New Roman"/>
        </w:rPr>
        <w:t>,00</w:t>
      </w:r>
      <w:r w:rsidR="004C2B36">
        <w:rPr>
          <w:rFonts w:ascii="Times New Roman" w:hAnsi="Times New Roman"/>
        </w:rPr>
        <w:t xml:space="preserve"> eura</w:t>
      </w:r>
      <w:r w:rsidR="00E6687D">
        <w:rPr>
          <w:rFonts w:ascii="Times New Roman" w:hAnsi="Times New Roman"/>
        </w:rPr>
        <w:t xml:space="preserve"> </w:t>
      </w:r>
      <w:r w:rsidR="004C2B36">
        <w:rPr>
          <w:rFonts w:ascii="Times New Roman" w:hAnsi="Times New Roman"/>
        </w:rPr>
        <w:t xml:space="preserve"> </w:t>
      </w:r>
      <w:r w:rsidR="005B7BD7">
        <w:rPr>
          <w:rFonts w:ascii="Times New Roman" w:hAnsi="Times New Roman"/>
        </w:rPr>
        <w:t xml:space="preserve">pa novi plan iznosi </w:t>
      </w:r>
      <w:r w:rsidR="00344A3F">
        <w:rPr>
          <w:rFonts w:ascii="Times New Roman" w:hAnsi="Times New Roman"/>
        </w:rPr>
        <w:t>462.</w:t>
      </w:r>
      <w:r w:rsidR="005E576D">
        <w:rPr>
          <w:rFonts w:ascii="Times New Roman" w:hAnsi="Times New Roman"/>
        </w:rPr>
        <w:t>5</w:t>
      </w:r>
      <w:r w:rsidR="00344A3F">
        <w:rPr>
          <w:rFonts w:ascii="Times New Roman" w:hAnsi="Times New Roman"/>
        </w:rPr>
        <w:t>76,00</w:t>
      </w:r>
      <w:r w:rsidR="004C2B36">
        <w:rPr>
          <w:rFonts w:ascii="Times New Roman" w:hAnsi="Times New Roman"/>
        </w:rPr>
        <w:t xml:space="preserve"> eura</w:t>
      </w:r>
    </w:p>
    <w:p w14:paraId="32B157B1" w14:textId="77777777" w:rsidR="00686D25" w:rsidRPr="00E6687D" w:rsidRDefault="00686D25" w:rsidP="00E6687D">
      <w:pPr>
        <w:spacing w:after="0"/>
        <w:jc w:val="both"/>
        <w:rPr>
          <w:rFonts w:ascii="Times New Roman" w:hAnsi="Times New Roman"/>
          <w:b/>
        </w:rPr>
      </w:pPr>
    </w:p>
    <w:p w14:paraId="587DF1B3" w14:textId="77777777" w:rsidR="00686D25" w:rsidRDefault="00686D25" w:rsidP="00686D25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Aktivnost: Slobodne aktivnosti i školska natjecanje</w:t>
      </w:r>
    </w:p>
    <w:p w14:paraId="205C31EB" w14:textId="52F3F48B" w:rsidR="00EE10B7" w:rsidRPr="00686D25" w:rsidRDefault="00686D25" w:rsidP="00686D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Planirana sredstva za navedenu aktivnost financiraju se iz Proračuna Grada Koprivnice za isplat</w:t>
      </w:r>
      <w:r w:rsidR="00C65AD3">
        <w:rPr>
          <w:rFonts w:ascii="Times New Roman" w:hAnsi="Times New Roman"/>
        </w:rPr>
        <w:t xml:space="preserve">u </w:t>
      </w:r>
      <w:r>
        <w:rPr>
          <w:rFonts w:ascii="Times New Roman" w:hAnsi="Times New Roman"/>
        </w:rPr>
        <w:t>nagrad</w:t>
      </w:r>
      <w:r w:rsidR="00C65AD3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za naj</w:t>
      </w:r>
      <w:r w:rsidR="00C65AD3">
        <w:rPr>
          <w:rFonts w:ascii="Times New Roman" w:hAnsi="Times New Roman"/>
        </w:rPr>
        <w:t>boljeg</w:t>
      </w:r>
      <w:r>
        <w:rPr>
          <w:rFonts w:ascii="Times New Roman" w:hAnsi="Times New Roman"/>
        </w:rPr>
        <w:t xml:space="preserve"> učitelja koji s</w:t>
      </w:r>
      <w:r w:rsidR="007D5FCF">
        <w:rPr>
          <w:rFonts w:ascii="Times New Roman" w:hAnsi="Times New Roman"/>
        </w:rPr>
        <w:t xml:space="preserve">u postigli značajne rezultate u prethodnoj Školskoj godini. Visina isplate određuje se odlukom </w:t>
      </w:r>
      <w:r w:rsidR="00373051">
        <w:rPr>
          <w:rFonts w:ascii="Times New Roman" w:hAnsi="Times New Roman"/>
        </w:rPr>
        <w:t>G</w:t>
      </w:r>
      <w:r w:rsidR="007D5FCF">
        <w:rPr>
          <w:rFonts w:ascii="Times New Roman" w:hAnsi="Times New Roman"/>
        </w:rPr>
        <w:t>radskog vijeća</w:t>
      </w:r>
      <w:r w:rsidR="00C65AD3">
        <w:rPr>
          <w:rFonts w:ascii="Times New Roman" w:hAnsi="Times New Roman"/>
        </w:rPr>
        <w:t>,</w:t>
      </w:r>
      <w:r w:rsidR="007D5FCF">
        <w:rPr>
          <w:rFonts w:ascii="Times New Roman" w:hAnsi="Times New Roman"/>
        </w:rPr>
        <w:t xml:space="preserve"> a isplata ide preko računa Škole direktno djelatniku.</w:t>
      </w:r>
    </w:p>
    <w:p w14:paraId="0BF3C9D5" w14:textId="77777777" w:rsidR="007957C8" w:rsidRDefault="007957C8" w:rsidP="00A9265B">
      <w:pPr>
        <w:spacing w:after="0"/>
        <w:jc w:val="both"/>
        <w:rPr>
          <w:rFonts w:ascii="Times New Roman" w:hAnsi="Times New Roman" w:cs="Times New Roman"/>
          <w:b/>
        </w:rPr>
      </w:pPr>
      <w:r w:rsidRPr="007957C8">
        <w:rPr>
          <w:rFonts w:ascii="Times New Roman" w:hAnsi="Times New Roman" w:cs="Times New Roman"/>
          <w:b/>
        </w:rPr>
        <w:t>Aktivnost: Redovna djelatnost osnovnih škola</w:t>
      </w:r>
    </w:p>
    <w:p w14:paraId="2292B278" w14:textId="77777777" w:rsidR="00355A9B" w:rsidRDefault="007957C8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Planirana sredstva za navedenu aktivnost financira</w:t>
      </w:r>
      <w:r w:rsidR="00E60742">
        <w:rPr>
          <w:rFonts w:ascii="Times New Roman" w:hAnsi="Times New Roman" w:cs="Times New Roman"/>
        </w:rPr>
        <w:t>ju</w:t>
      </w:r>
      <w:r>
        <w:rPr>
          <w:rFonts w:ascii="Times New Roman" w:hAnsi="Times New Roman" w:cs="Times New Roman"/>
        </w:rPr>
        <w:t xml:space="preserve"> se iz Proračuna Grada Koprivnice  i to za</w:t>
      </w:r>
      <w:r w:rsidR="00846B8A">
        <w:rPr>
          <w:rFonts w:ascii="Times New Roman" w:hAnsi="Times New Roman" w:cs="Times New Roman"/>
        </w:rPr>
        <w:t xml:space="preserve"> zdravstvene usluge</w:t>
      </w:r>
      <w:r w:rsidR="0049415E">
        <w:rPr>
          <w:rFonts w:ascii="Times New Roman" w:hAnsi="Times New Roman" w:cs="Times New Roman"/>
        </w:rPr>
        <w:t>. Zdravstven</w:t>
      </w:r>
      <w:r w:rsidR="00846B8A">
        <w:rPr>
          <w:rFonts w:ascii="Times New Roman" w:hAnsi="Times New Roman" w:cs="Times New Roman"/>
        </w:rPr>
        <w:t xml:space="preserve">e usluge </w:t>
      </w:r>
      <w:r w:rsidR="0049415E">
        <w:rPr>
          <w:rFonts w:ascii="Times New Roman" w:hAnsi="Times New Roman" w:cs="Times New Roman"/>
        </w:rPr>
        <w:t xml:space="preserve"> su  planirane prema </w:t>
      </w:r>
      <w:r w:rsidR="007D5FCF">
        <w:rPr>
          <w:rFonts w:ascii="Times New Roman" w:hAnsi="Times New Roman" w:cs="Times New Roman"/>
        </w:rPr>
        <w:t xml:space="preserve">postojećim potpisanim </w:t>
      </w:r>
      <w:r w:rsidR="00390587">
        <w:rPr>
          <w:rFonts w:ascii="Times New Roman" w:hAnsi="Times New Roman" w:cs="Times New Roman"/>
        </w:rPr>
        <w:t>Ugovorima.</w:t>
      </w:r>
    </w:p>
    <w:p w14:paraId="70D56102" w14:textId="3A23226A" w:rsidR="00893816" w:rsidRDefault="007D5FCF" w:rsidP="0089381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navedenu aktivnost  </w:t>
      </w:r>
      <w:r w:rsidR="00390587">
        <w:rPr>
          <w:rFonts w:ascii="Times New Roman" w:hAnsi="Times New Roman" w:cs="Times New Roman"/>
        </w:rPr>
        <w:t xml:space="preserve"> planirana su sredstva u iznosu od  </w:t>
      </w:r>
      <w:r w:rsidR="008851A8">
        <w:rPr>
          <w:rFonts w:ascii="Times New Roman" w:hAnsi="Times New Roman" w:cs="Times New Roman"/>
        </w:rPr>
        <w:t xml:space="preserve">3.500,00 </w:t>
      </w:r>
      <w:r w:rsidR="004C2B36">
        <w:rPr>
          <w:rFonts w:ascii="Times New Roman" w:hAnsi="Times New Roman" w:cs="Times New Roman"/>
        </w:rPr>
        <w:t>eura</w:t>
      </w:r>
      <w:r w:rsidR="008851A8">
        <w:rPr>
          <w:rFonts w:ascii="Times New Roman" w:hAnsi="Times New Roman" w:cs="Times New Roman"/>
        </w:rPr>
        <w:t xml:space="preserve"> i ostaju nepromijenjena u odnosu na </w:t>
      </w:r>
      <w:r w:rsidR="005E576D">
        <w:rPr>
          <w:rFonts w:ascii="Times New Roman" w:hAnsi="Times New Roman" w:cs="Times New Roman"/>
        </w:rPr>
        <w:t xml:space="preserve">I. izmjene i dopune financijskog </w:t>
      </w:r>
      <w:r w:rsidR="008851A8">
        <w:rPr>
          <w:rFonts w:ascii="Times New Roman" w:hAnsi="Times New Roman" w:cs="Times New Roman"/>
        </w:rPr>
        <w:t>plan</w:t>
      </w:r>
      <w:r w:rsidR="005E576D">
        <w:rPr>
          <w:rFonts w:ascii="Times New Roman" w:hAnsi="Times New Roman" w:cs="Times New Roman"/>
        </w:rPr>
        <w:t>a</w:t>
      </w:r>
      <w:r w:rsidR="008851A8">
        <w:rPr>
          <w:rFonts w:ascii="Times New Roman" w:hAnsi="Times New Roman" w:cs="Times New Roman"/>
        </w:rPr>
        <w:t>.</w:t>
      </w:r>
    </w:p>
    <w:p w14:paraId="44F78B81" w14:textId="77777777" w:rsidR="00A13D05" w:rsidRDefault="00A13D05" w:rsidP="00A9265B">
      <w:pPr>
        <w:spacing w:after="0"/>
        <w:jc w:val="both"/>
        <w:rPr>
          <w:rFonts w:ascii="Times New Roman" w:hAnsi="Times New Roman" w:cs="Times New Roman"/>
          <w:b/>
        </w:rPr>
      </w:pPr>
      <w:r w:rsidRPr="001D4244">
        <w:rPr>
          <w:rFonts w:ascii="Times New Roman" w:hAnsi="Times New Roman" w:cs="Times New Roman"/>
          <w:b/>
        </w:rPr>
        <w:t>Aktivnost: Unapređenje standarda u školama -</w:t>
      </w:r>
      <w:r w:rsidR="00874D9B">
        <w:rPr>
          <w:rFonts w:ascii="Times New Roman" w:hAnsi="Times New Roman" w:cs="Times New Roman"/>
          <w:b/>
        </w:rPr>
        <w:t xml:space="preserve"> </w:t>
      </w:r>
      <w:r w:rsidRPr="001D4244">
        <w:rPr>
          <w:rFonts w:ascii="Times New Roman" w:hAnsi="Times New Roman" w:cs="Times New Roman"/>
          <w:b/>
        </w:rPr>
        <w:t>izvor Vlastiti prihodi( Višak, Županija, Ministarstvo)</w:t>
      </w:r>
    </w:p>
    <w:p w14:paraId="67AF9E6A" w14:textId="77777777" w:rsidR="001D4244" w:rsidRPr="00C35845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Unutar ove aktivnosti planirana su sredstva iz više izvora i to:</w:t>
      </w:r>
    </w:p>
    <w:p w14:paraId="575D3E72" w14:textId="33E3C794" w:rsidR="001D4244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proračun-županija p</w:t>
      </w:r>
      <w:r w:rsidR="003900A3" w:rsidRPr="00C35845">
        <w:rPr>
          <w:rFonts w:ascii="Times New Roman" w:hAnsi="Times New Roman" w:cs="Times New Roman"/>
        </w:rPr>
        <w:t xml:space="preserve">lanirana sredstva </w:t>
      </w:r>
      <w:r>
        <w:rPr>
          <w:rFonts w:ascii="Times New Roman" w:hAnsi="Times New Roman" w:cs="Times New Roman"/>
        </w:rPr>
        <w:t xml:space="preserve">iznose </w:t>
      </w:r>
      <w:r w:rsidR="00BC5BA4">
        <w:rPr>
          <w:rFonts w:ascii="Times New Roman" w:hAnsi="Times New Roman" w:cs="Times New Roman"/>
        </w:rPr>
        <w:t>80.000,00</w:t>
      </w:r>
      <w:r w:rsidR="00C13647">
        <w:rPr>
          <w:rFonts w:ascii="Times New Roman" w:hAnsi="Times New Roman" w:cs="Times New Roman"/>
        </w:rPr>
        <w:t xml:space="preserve"> eura</w:t>
      </w:r>
      <w:r w:rsidR="00C12E4F" w:rsidRPr="00C35845">
        <w:rPr>
          <w:rFonts w:ascii="Times New Roman" w:hAnsi="Times New Roman" w:cs="Times New Roman"/>
        </w:rPr>
        <w:t xml:space="preserve">/ povećanje </w:t>
      </w:r>
      <w:r w:rsidR="00846B8A" w:rsidRPr="00C35845">
        <w:rPr>
          <w:rFonts w:ascii="Times New Roman" w:hAnsi="Times New Roman" w:cs="Times New Roman"/>
        </w:rPr>
        <w:t>0,00</w:t>
      </w:r>
      <w:r w:rsidR="006D27B0" w:rsidRPr="00C35845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 w:rsidR="001D4244" w:rsidRPr="00C35845">
        <w:rPr>
          <w:rFonts w:ascii="Times New Roman" w:hAnsi="Times New Roman" w:cs="Times New Roman"/>
        </w:rPr>
        <w:t xml:space="preserve">/ </w:t>
      </w:r>
      <w:r w:rsidR="003D2063" w:rsidRPr="00C35845">
        <w:rPr>
          <w:rFonts w:ascii="Times New Roman" w:hAnsi="Times New Roman" w:cs="Times New Roman"/>
        </w:rPr>
        <w:t xml:space="preserve">novi plan </w:t>
      </w:r>
      <w:r w:rsidR="00BC5BA4">
        <w:rPr>
          <w:rFonts w:ascii="Times New Roman" w:hAnsi="Times New Roman" w:cs="Times New Roman"/>
        </w:rPr>
        <w:t>80.000,00</w:t>
      </w:r>
      <w:r w:rsidR="00184AF9" w:rsidRPr="00C35845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 w:rsidR="00152D38">
        <w:rPr>
          <w:rFonts w:ascii="Times New Roman" w:hAnsi="Times New Roman" w:cs="Times New Roman"/>
        </w:rPr>
        <w:t xml:space="preserve"> za materijalne rashode</w:t>
      </w:r>
    </w:p>
    <w:p w14:paraId="2F317182" w14:textId="321D9CDA" w:rsidR="00784133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nenadležni proračun-M</w:t>
      </w:r>
      <w:r w:rsidR="00CF0002">
        <w:rPr>
          <w:rFonts w:ascii="Times New Roman" w:hAnsi="Times New Roman" w:cs="Times New Roman"/>
        </w:rPr>
        <w:t>ZO</w:t>
      </w:r>
      <w:r>
        <w:rPr>
          <w:rFonts w:ascii="Times New Roman" w:hAnsi="Times New Roman" w:cs="Times New Roman"/>
        </w:rPr>
        <w:t xml:space="preserve"> planirana sredstva iz</w:t>
      </w:r>
      <w:r w:rsidR="008B6283">
        <w:rPr>
          <w:rFonts w:ascii="Times New Roman" w:hAnsi="Times New Roman" w:cs="Times New Roman"/>
        </w:rPr>
        <w:t>nos</w:t>
      </w:r>
      <w:r w:rsidR="00390587">
        <w:rPr>
          <w:rFonts w:ascii="Times New Roman" w:hAnsi="Times New Roman" w:cs="Times New Roman"/>
        </w:rPr>
        <w:t>e</w:t>
      </w:r>
      <w:r w:rsidR="00BC5BA4">
        <w:rPr>
          <w:rFonts w:ascii="Times New Roman" w:hAnsi="Times New Roman" w:cs="Times New Roman"/>
        </w:rPr>
        <w:t xml:space="preserve"> 2.000</w:t>
      </w:r>
      <w:r w:rsidR="00C13647">
        <w:rPr>
          <w:rFonts w:ascii="Times New Roman" w:hAnsi="Times New Roman" w:cs="Times New Roman"/>
        </w:rPr>
        <w:t xml:space="preserve">,00 /povećanje </w:t>
      </w:r>
      <w:r w:rsidR="005E576D">
        <w:rPr>
          <w:rFonts w:ascii="Times New Roman" w:hAnsi="Times New Roman" w:cs="Times New Roman"/>
        </w:rPr>
        <w:t>40</w:t>
      </w:r>
      <w:r w:rsidR="00BC5BA4">
        <w:rPr>
          <w:rFonts w:ascii="Times New Roman" w:hAnsi="Times New Roman" w:cs="Times New Roman"/>
        </w:rPr>
        <w:t>0,00</w:t>
      </w:r>
      <w:r w:rsidR="0009791E">
        <w:rPr>
          <w:rFonts w:ascii="Times New Roman" w:hAnsi="Times New Roman" w:cs="Times New Roman"/>
        </w:rPr>
        <w:t xml:space="preserve"> eura</w:t>
      </w:r>
      <w:r w:rsidR="00390587">
        <w:rPr>
          <w:rFonts w:ascii="Times New Roman" w:hAnsi="Times New Roman" w:cs="Times New Roman"/>
        </w:rPr>
        <w:t xml:space="preserve">/ novi plan </w:t>
      </w:r>
      <w:r w:rsidR="00BC5BA4">
        <w:rPr>
          <w:rFonts w:ascii="Times New Roman" w:hAnsi="Times New Roman" w:cs="Times New Roman"/>
        </w:rPr>
        <w:t>2.</w:t>
      </w:r>
      <w:r w:rsidR="005E576D">
        <w:rPr>
          <w:rFonts w:ascii="Times New Roman" w:hAnsi="Times New Roman" w:cs="Times New Roman"/>
        </w:rPr>
        <w:t>4</w:t>
      </w:r>
      <w:r w:rsidR="00BC5BA4">
        <w:rPr>
          <w:rFonts w:ascii="Times New Roman" w:hAnsi="Times New Roman" w:cs="Times New Roman"/>
        </w:rPr>
        <w:t>00,00</w:t>
      </w:r>
      <w:r w:rsidR="00C13647">
        <w:rPr>
          <w:rFonts w:ascii="Times New Roman" w:hAnsi="Times New Roman" w:cs="Times New Roman"/>
        </w:rPr>
        <w:t xml:space="preserve"> eura</w:t>
      </w:r>
      <w:r w:rsidR="007D5FCF">
        <w:rPr>
          <w:rFonts w:ascii="Times New Roman" w:hAnsi="Times New Roman" w:cs="Times New Roman"/>
        </w:rPr>
        <w:t xml:space="preserve"> </w:t>
      </w:r>
      <w:r w:rsidR="00152D38">
        <w:rPr>
          <w:rFonts w:ascii="Times New Roman" w:hAnsi="Times New Roman" w:cs="Times New Roman"/>
        </w:rPr>
        <w:t>za rashode za zaposlene</w:t>
      </w:r>
      <w:r w:rsidR="005E576D">
        <w:rPr>
          <w:rFonts w:ascii="Times New Roman" w:hAnsi="Times New Roman" w:cs="Times New Roman"/>
        </w:rPr>
        <w:t xml:space="preserve"> i nabavu stručne literature</w:t>
      </w:r>
    </w:p>
    <w:p w14:paraId="16DC56C1" w14:textId="6C082ABB" w:rsidR="00E60742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vlastiti prihod</w:t>
      </w:r>
      <w:r w:rsidR="00390587">
        <w:rPr>
          <w:rFonts w:ascii="Times New Roman" w:hAnsi="Times New Roman" w:cs="Times New Roman"/>
        </w:rPr>
        <w:t xml:space="preserve">i planirana sredstva iznose </w:t>
      </w:r>
      <w:r w:rsidR="005E576D">
        <w:rPr>
          <w:rFonts w:ascii="Times New Roman" w:hAnsi="Times New Roman" w:cs="Times New Roman"/>
        </w:rPr>
        <w:t>22</w:t>
      </w:r>
      <w:r w:rsidR="006D514C">
        <w:rPr>
          <w:rFonts w:ascii="Times New Roman" w:hAnsi="Times New Roman" w:cs="Times New Roman"/>
        </w:rPr>
        <w:t>.</w:t>
      </w:r>
      <w:r w:rsidR="005E576D">
        <w:rPr>
          <w:rFonts w:ascii="Times New Roman" w:hAnsi="Times New Roman" w:cs="Times New Roman"/>
        </w:rPr>
        <w:t>107</w:t>
      </w:r>
      <w:r w:rsidR="006D514C">
        <w:rPr>
          <w:rFonts w:ascii="Times New Roman" w:hAnsi="Times New Roman" w:cs="Times New Roman"/>
        </w:rPr>
        <w:t>,00</w:t>
      </w:r>
      <w:r w:rsidR="00C13647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 xml:space="preserve">/povećanje </w:t>
      </w:r>
      <w:r w:rsidR="005E576D">
        <w:rPr>
          <w:rFonts w:ascii="Times New Roman" w:hAnsi="Times New Roman" w:cs="Times New Roman"/>
        </w:rPr>
        <w:t>0,00</w:t>
      </w:r>
      <w:r w:rsidR="00C13647">
        <w:rPr>
          <w:rFonts w:ascii="Times New Roman" w:hAnsi="Times New Roman" w:cs="Times New Roman"/>
        </w:rPr>
        <w:t xml:space="preserve"> eura</w:t>
      </w:r>
      <w:r w:rsidR="007D5F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="00C13647">
        <w:rPr>
          <w:rFonts w:ascii="Times New Roman" w:hAnsi="Times New Roman" w:cs="Times New Roman"/>
        </w:rPr>
        <w:t xml:space="preserve">novi plan </w:t>
      </w:r>
      <w:r w:rsidR="006D514C">
        <w:rPr>
          <w:rFonts w:ascii="Times New Roman" w:hAnsi="Times New Roman" w:cs="Times New Roman"/>
        </w:rPr>
        <w:t>22.107,</w:t>
      </w:r>
      <w:r w:rsidR="00BC5BA4">
        <w:rPr>
          <w:rFonts w:ascii="Times New Roman" w:hAnsi="Times New Roman" w:cs="Times New Roman"/>
        </w:rPr>
        <w:t xml:space="preserve">00 </w:t>
      </w:r>
      <w:r w:rsidR="00C13647">
        <w:rPr>
          <w:rFonts w:ascii="Times New Roman" w:hAnsi="Times New Roman" w:cs="Times New Roman"/>
        </w:rPr>
        <w:t>eura</w:t>
      </w:r>
    </w:p>
    <w:p w14:paraId="1DF8EB61" w14:textId="73BEA9FC" w:rsidR="00784133" w:rsidRPr="00C35845" w:rsidRDefault="00784133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prihodi po posebnim propisim</w:t>
      </w:r>
      <w:r w:rsidR="00390587">
        <w:rPr>
          <w:rFonts w:ascii="Times New Roman" w:hAnsi="Times New Roman" w:cs="Times New Roman"/>
        </w:rPr>
        <w:t xml:space="preserve">a planirani su u iznosu od </w:t>
      </w:r>
      <w:r w:rsidR="00BC5BA4">
        <w:rPr>
          <w:rFonts w:ascii="Times New Roman" w:hAnsi="Times New Roman" w:cs="Times New Roman"/>
        </w:rPr>
        <w:t>58.867,00</w:t>
      </w:r>
      <w:r w:rsidR="00C13647">
        <w:rPr>
          <w:rFonts w:ascii="Times New Roman" w:hAnsi="Times New Roman" w:cs="Times New Roman"/>
        </w:rPr>
        <w:t xml:space="preserve"> eura</w:t>
      </w:r>
      <w:r w:rsidR="00E60742">
        <w:rPr>
          <w:rFonts w:ascii="Times New Roman" w:hAnsi="Times New Roman" w:cs="Times New Roman"/>
        </w:rPr>
        <w:t>/pov</w:t>
      </w:r>
      <w:r w:rsidR="00C13647">
        <w:rPr>
          <w:rFonts w:ascii="Times New Roman" w:hAnsi="Times New Roman" w:cs="Times New Roman"/>
        </w:rPr>
        <w:t>e</w:t>
      </w:r>
      <w:r w:rsidR="007A5E90">
        <w:rPr>
          <w:rFonts w:ascii="Times New Roman" w:hAnsi="Times New Roman" w:cs="Times New Roman"/>
        </w:rPr>
        <w:t xml:space="preserve">ćanje </w:t>
      </w:r>
      <w:r w:rsidR="00BC5BA4">
        <w:rPr>
          <w:rFonts w:ascii="Times New Roman" w:hAnsi="Times New Roman" w:cs="Times New Roman"/>
        </w:rPr>
        <w:t>0,00</w:t>
      </w:r>
      <w:r w:rsidR="007A5E90">
        <w:rPr>
          <w:rFonts w:ascii="Times New Roman" w:hAnsi="Times New Roman" w:cs="Times New Roman"/>
        </w:rPr>
        <w:t xml:space="preserve">/novi plan </w:t>
      </w:r>
      <w:r w:rsidR="00BC5BA4">
        <w:rPr>
          <w:rFonts w:ascii="Times New Roman" w:hAnsi="Times New Roman" w:cs="Times New Roman"/>
        </w:rPr>
        <w:t>58.867,00</w:t>
      </w:r>
      <w:r w:rsidR="006D514C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</w:p>
    <w:p w14:paraId="716AA3BB" w14:textId="02389F08" w:rsidR="00E60742" w:rsidRDefault="00E60742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višak prihoda poslovanja</w:t>
      </w:r>
      <w:r w:rsidR="00581CD4">
        <w:rPr>
          <w:rFonts w:ascii="Times New Roman" w:hAnsi="Times New Roman" w:cs="Times New Roman"/>
        </w:rPr>
        <w:t xml:space="preserve"> i namjenski prihodi</w:t>
      </w:r>
      <w:r>
        <w:rPr>
          <w:rFonts w:ascii="Times New Roman" w:hAnsi="Times New Roman" w:cs="Times New Roman"/>
        </w:rPr>
        <w:t xml:space="preserve"> p</w:t>
      </w:r>
      <w:r w:rsidR="00EE10B7">
        <w:rPr>
          <w:rFonts w:ascii="Times New Roman" w:hAnsi="Times New Roman" w:cs="Times New Roman"/>
        </w:rPr>
        <w:t xml:space="preserve">lanirani su u iznosu od </w:t>
      </w:r>
      <w:r w:rsidR="005E576D">
        <w:rPr>
          <w:rFonts w:ascii="Times New Roman" w:hAnsi="Times New Roman" w:cs="Times New Roman"/>
        </w:rPr>
        <w:t>358.069,00</w:t>
      </w:r>
      <w:r w:rsidR="0009791E">
        <w:rPr>
          <w:rFonts w:ascii="Times New Roman" w:hAnsi="Times New Roman" w:cs="Times New Roman"/>
        </w:rPr>
        <w:t xml:space="preserve"> </w:t>
      </w:r>
      <w:r w:rsidR="00C13647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>/povećanje</w:t>
      </w:r>
      <w:r w:rsidR="0009791E">
        <w:rPr>
          <w:rFonts w:ascii="Times New Roman" w:hAnsi="Times New Roman" w:cs="Times New Roman"/>
        </w:rPr>
        <w:t xml:space="preserve"> </w:t>
      </w:r>
      <w:r w:rsidR="005E576D">
        <w:rPr>
          <w:rFonts w:ascii="Times New Roman" w:hAnsi="Times New Roman" w:cs="Times New Roman"/>
        </w:rPr>
        <w:t>0,0</w:t>
      </w:r>
      <w:r w:rsidR="006D514C">
        <w:rPr>
          <w:rFonts w:ascii="Times New Roman" w:hAnsi="Times New Roman" w:cs="Times New Roman"/>
        </w:rPr>
        <w:t>00</w:t>
      </w:r>
      <w:r w:rsidR="00C13647">
        <w:rPr>
          <w:rFonts w:ascii="Times New Roman" w:hAnsi="Times New Roman" w:cs="Times New Roman"/>
        </w:rPr>
        <w:t xml:space="preserve"> eura /novi plan </w:t>
      </w:r>
      <w:r w:rsidR="006D514C">
        <w:rPr>
          <w:rFonts w:ascii="Times New Roman" w:hAnsi="Times New Roman" w:cs="Times New Roman"/>
        </w:rPr>
        <w:t>358.069,00</w:t>
      </w:r>
      <w:r w:rsidR="00C13647">
        <w:rPr>
          <w:rFonts w:ascii="Times New Roman" w:hAnsi="Times New Roman" w:cs="Times New Roman"/>
        </w:rPr>
        <w:t xml:space="preserve"> eura</w:t>
      </w:r>
    </w:p>
    <w:p w14:paraId="23181F51" w14:textId="77777777" w:rsidR="00E1362E" w:rsidRPr="00C35845" w:rsidRDefault="00E1362E" w:rsidP="00A9265B">
      <w:pPr>
        <w:spacing w:after="0"/>
        <w:jc w:val="both"/>
        <w:rPr>
          <w:rFonts w:ascii="Times New Roman" w:hAnsi="Times New Roman" w:cs="Times New Roman"/>
        </w:rPr>
      </w:pPr>
    </w:p>
    <w:p w14:paraId="6F762CEE" w14:textId="77777777" w:rsidR="002F1AA8" w:rsidRDefault="00355A9B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navedenu aktivnost planirana su  na kontu 321- sredstva naknade troškova zaposlenima za službena putovanja,  na kontu 322 -sredstva za uredski materijal, energiju, materija i dijelove za tekuće i investicijsko održavanje, sitni inventar. Na kontu 323-sredstva za  usluge telefona i pošte, usluge tekućeg i investicijskog održavanja, usluge promidžbe i informiranja, komunalne usluge, zakupnina i najamnina, zdravstvene usluge, Intelektualne usluge, računalne usluge. Na 329 - sredstva za premije osiguranja, reprezentaciju, članarina, pristojbe i naknade te ostali nespomenuti rashodi poslovanja</w:t>
      </w:r>
    </w:p>
    <w:p w14:paraId="23A6A3BE" w14:textId="4D0BA39E" w:rsidR="004B5ABF" w:rsidRDefault="002F1AA8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Ovom aktivnošću će se  financirati i rashodi za nabavu proizvedene  d</w:t>
      </w:r>
      <w:r w:rsidR="00553BC3">
        <w:rPr>
          <w:rFonts w:ascii="Times New Roman" w:hAnsi="Times New Roman" w:cs="Times New Roman"/>
        </w:rPr>
        <w:t>ugotrajne nefinancijske imovin</w:t>
      </w:r>
      <w:r w:rsidR="00546F13">
        <w:rPr>
          <w:rFonts w:ascii="Times New Roman" w:hAnsi="Times New Roman" w:cs="Times New Roman"/>
        </w:rPr>
        <w:t>e</w:t>
      </w:r>
    </w:p>
    <w:p w14:paraId="3AD4C89D" w14:textId="315AE3CF" w:rsidR="002F367E" w:rsidRPr="00546F13" w:rsidRDefault="004B5ABF" w:rsidP="00EB1CA3">
      <w:pPr>
        <w:spacing w:after="0"/>
        <w:jc w:val="both"/>
        <w:rPr>
          <w:rFonts w:ascii="Times New Roman" w:hAnsi="Times New Roman"/>
        </w:rPr>
      </w:pPr>
      <w:r w:rsidRPr="00546F13">
        <w:rPr>
          <w:rFonts w:ascii="Times New Roman" w:hAnsi="Times New Roman"/>
        </w:rPr>
        <w:t xml:space="preserve">Višak prihoda poslovanja Umjetničke škole iznosi  </w:t>
      </w:r>
      <w:r w:rsidR="006D514C">
        <w:rPr>
          <w:rFonts w:ascii="Times New Roman" w:hAnsi="Times New Roman"/>
        </w:rPr>
        <w:t>308.248,34</w:t>
      </w:r>
      <w:r w:rsidR="00553BC3" w:rsidRPr="00546F13">
        <w:rPr>
          <w:rFonts w:ascii="Times New Roman" w:hAnsi="Times New Roman"/>
        </w:rPr>
        <w:t xml:space="preserve"> eura</w:t>
      </w:r>
      <w:r w:rsidR="00C65AD3" w:rsidRPr="00546F13">
        <w:rPr>
          <w:rFonts w:ascii="Times New Roman" w:hAnsi="Times New Roman"/>
        </w:rPr>
        <w:t xml:space="preserve">. </w:t>
      </w:r>
      <w:r w:rsidR="00E6687D" w:rsidRPr="00546F13">
        <w:rPr>
          <w:rFonts w:ascii="Times New Roman" w:hAnsi="Times New Roman"/>
        </w:rPr>
        <w:t xml:space="preserve"> </w:t>
      </w:r>
      <w:r w:rsidR="00C65AD3" w:rsidRPr="00546F13">
        <w:rPr>
          <w:rFonts w:ascii="Times New Roman" w:hAnsi="Times New Roman"/>
        </w:rPr>
        <w:t>V</w:t>
      </w:r>
      <w:r w:rsidR="00E6687D" w:rsidRPr="00546F13">
        <w:rPr>
          <w:rFonts w:ascii="Times New Roman" w:hAnsi="Times New Roman"/>
        </w:rPr>
        <w:t>išak će se utrošiti</w:t>
      </w:r>
      <w:r w:rsidRPr="00546F13">
        <w:rPr>
          <w:rFonts w:ascii="Times New Roman" w:hAnsi="Times New Roman"/>
        </w:rPr>
        <w:t xml:space="preserve"> n</w:t>
      </w:r>
      <w:r w:rsidR="00E6687D" w:rsidRPr="00546F13">
        <w:rPr>
          <w:rFonts w:ascii="Times New Roman" w:hAnsi="Times New Roman"/>
        </w:rPr>
        <w:t>amjenski za rashode poslovanja</w:t>
      </w:r>
      <w:r w:rsidR="00B06FCF">
        <w:rPr>
          <w:rFonts w:ascii="Times New Roman" w:hAnsi="Times New Roman"/>
        </w:rPr>
        <w:t xml:space="preserve"> i </w:t>
      </w:r>
      <w:r w:rsidRPr="00546F13">
        <w:rPr>
          <w:rFonts w:ascii="Times New Roman" w:hAnsi="Times New Roman"/>
        </w:rPr>
        <w:t>rashode za nabavu nefinancijske imovine</w:t>
      </w:r>
      <w:r w:rsidR="00553BC3" w:rsidRPr="00546F13">
        <w:rPr>
          <w:rFonts w:ascii="Times New Roman" w:hAnsi="Times New Roman"/>
        </w:rPr>
        <w:t>.</w:t>
      </w:r>
      <w:r w:rsidR="002F367E" w:rsidRPr="00546F13">
        <w:rPr>
          <w:rFonts w:ascii="Times New Roman" w:hAnsi="Times New Roman"/>
        </w:rPr>
        <w:t xml:space="preserve"> </w:t>
      </w:r>
    </w:p>
    <w:p w14:paraId="2B00E70A" w14:textId="046C9083" w:rsidR="002F367E" w:rsidRPr="00546F13" w:rsidRDefault="002F367E" w:rsidP="00546F13">
      <w:pPr>
        <w:spacing w:after="0"/>
        <w:jc w:val="both"/>
        <w:rPr>
          <w:rFonts w:ascii="Times New Roman" w:hAnsi="Times New Roman" w:cs="Times New Roman"/>
        </w:rPr>
      </w:pPr>
      <w:r w:rsidRPr="00546F13">
        <w:rPr>
          <w:rFonts w:ascii="Times New Roman" w:hAnsi="Times New Roman"/>
        </w:rPr>
        <w:t xml:space="preserve"> </w:t>
      </w:r>
      <w:r w:rsidRPr="00546F13">
        <w:rPr>
          <w:rFonts w:ascii="Times New Roman" w:hAnsi="Times New Roman" w:cs="Times New Roman"/>
        </w:rPr>
        <w:t xml:space="preserve">Umjetnička škola Fortunat Pintarić već godinama ima problema sa manjkom prostora za održavanje redovne nastave. </w:t>
      </w:r>
    </w:p>
    <w:p w14:paraId="53F0B480" w14:textId="23B861A4" w:rsidR="00546F13" w:rsidRPr="00546F13" w:rsidRDefault="00546F13" w:rsidP="00546F13">
      <w:pPr>
        <w:spacing w:after="0"/>
        <w:jc w:val="both"/>
        <w:rPr>
          <w:rFonts w:ascii="Times New Roman" w:hAnsi="Times New Roman" w:cs="Times New Roman"/>
        </w:rPr>
      </w:pPr>
      <w:r w:rsidRPr="00546F13">
        <w:rPr>
          <w:rFonts w:ascii="Times New Roman" w:hAnsi="Times New Roman" w:cs="Times New Roman"/>
        </w:rPr>
        <w:t>Iz viška prihoda poslovanja će se financirati službena putovanja, zakupnine i najamnine, ostale usluge i rashodi te nabava dugotrajne imovine koja će omogućit da Škola ima sve potrebne uvijete za rad i praćenje nastave.</w:t>
      </w:r>
    </w:p>
    <w:p w14:paraId="57D878E9" w14:textId="26A35C8F" w:rsidR="00546F13" w:rsidRPr="00546F13" w:rsidRDefault="00546F13" w:rsidP="00546F13">
      <w:pPr>
        <w:spacing w:after="0"/>
        <w:jc w:val="both"/>
        <w:rPr>
          <w:rFonts w:ascii="Times New Roman" w:hAnsi="Times New Roman" w:cs="Times New Roman"/>
        </w:rPr>
      </w:pPr>
    </w:p>
    <w:p w14:paraId="5CAC28D2" w14:textId="77777777" w:rsidR="00A85825" w:rsidRPr="00D50385" w:rsidRDefault="00A85825" w:rsidP="00A9265B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53A6F759" w14:textId="77777777" w:rsidR="00C35845" w:rsidRDefault="00C35845" w:rsidP="00220E2A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  <w:r w:rsidRPr="00C35845">
        <w:rPr>
          <w:rFonts w:ascii="Times New Roman" w:hAnsi="Times New Roman" w:cs="Times New Roman"/>
          <w:b/>
        </w:rPr>
        <w:t>PROGRAM:</w:t>
      </w:r>
      <w:r w:rsidR="00AF1890">
        <w:rPr>
          <w:rFonts w:ascii="Times New Roman" w:hAnsi="Times New Roman" w:cs="Times New Roman"/>
          <w:b/>
        </w:rPr>
        <w:t xml:space="preserve"> </w:t>
      </w:r>
      <w:r w:rsidRPr="00C35845">
        <w:rPr>
          <w:rFonts w:ascii="Times New Roman" w:hAnsi="Times New Roman" w:cs="Times New Roman"/>
          <w:b/>
        </w:rPr>
        <w:t>COP provodit će se kroz aktivnost:</w:t>
      </w:r>
    </w:p>
    <w:p w14:paraId="476C0339" w14:textId="77777777" w:rsidR="00220E2A" w:rsidRPr="00C35845" w:rsidRDefault="00220E2A" w:rsidP="00220E2A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</w:rPr>
      </w:pPr>
    </w:p>
    <w:p w14:paraId="15C47F25" w14:textId="63D83B45" w:rsidR="00A85825" w:rsidRDefault="00C35845" w:rsidP="00AF1890">
      <w:pPr>
        <w:spacing w:after="0"/>
        <w:jc w:val="both"/>
        <w:rPr>
          <w:rFonts w:ascii="Times New Roman" w:hAnsi="Times New Roman"/>
        </w:rPr>
      </w:pPr>
      <w:r w:rsidRPr="00AF1890">
        <w:rPr>
          <w:rFonts w:ascii="Times New Roman" w:hAnsi="Times New Roman"/>
          <w:b/>
        </w:rPr>
        <w:t>Aktivnost: COP „Umjetnička škola Fortunat Pintarić“-</w:t>
      </w:r>
      <w:r w:rsidR="00DE4C38">
        <w:rPr>
          <w:rFonts w:ascii="Times New Roman" w:hAnsi="Times New Roman"/>
          <w:b/>
        </w:rPr>
        <w:t xml:space="preserve"> </w:t>
      </w:r>
      <w:r w:rsidRPr="00AF1890">
        <w:rPr>
          <w:rFonts w:ascii="Times New Roman" w:hAnsi="Times New Roman"/>
        </w:rPr>
        <w:t>izvor tekuć</w:t>
      </w:r>
      <w:r w:rsidR="00DE4C38">
        <w:rPr>
          <w:rFonts w:ascii="Times New Roman" w:hAnsi="Times New Roman"/>
        </w:rPr>
        <w:t>e pomoći iz državnog proračuna C</w:t>
      </w:r>
      <w:r w:rsidR="00CF0002">
        <w:rPr>
          <w:rFonts w:ascii="Times New Roman" w:hAnsi="Times New Roman"/>
        </w:rPr>
        <w:t>OP</w:t>
      </w:r>
      <w:r w:rsidRPr="00AF1890">
        <w:rPr>
          <w:rFonts w:ascii="Times New Roman" w:hAnsi="Times New Roman"/>
        </w:rPr>
        <w:t>, za navedenu aktivnost planiran</w:t>
      </w:r>
      <w:r w:rsidR="008B6283">
        <w:rPr>
          <w:rFonts w:ascii="Times New Roman" w:hAnsi="Times New Roman"/>
        </w:rPr>
        <w:t xml:space="preserve">a su sredstva u iznosu od  </w:t>
      </w:r>
      <w:r w:rsidR="00BE0D33">
        <w:rPr>
          <w:rFonts w:ascii="Times New Roman" w:hAnsi="Times New Roman"/>
        </w:rPr>
        <w:t>1</w:t>
      </w:r>
      <w:r w:rsidR="00E33A9A">
        <w:rPr>
          <w:rFonts w:ascii="Times New Roman" w:hAnsi="Times New Roman"/>
        </w:rPr>
        <w:t>.270.000,00</w:t>
      </w:r>
      <w:r w:rsidR="0009791E">
        <w:rPr>
          <w:rFonts w:ascii="Times New Roman" w:hAnsi="Times New Roman"/>
        </w:rPr>
        <w:t xml:space="preserve"> eura i</w:t>
      </w:r>
      <w:r w:rsidR="00BE0D33">
        <w:rPr>
          <w:rFonts w:ascii="Times New Roman" w:hAnsi="Times New Roman"/>
        </w:rPr>
        <w:t xml:space="preserve"> ostaju nepromjenjiva</w:t>
      </w:r>
      <w:r w:rsidR="00E33A9A">
        <w:rPr>
          <w:rFonts w:ascii="Times New Roman" w:hAnsi="Times New Roman"/>
        </w:rPr>
        <w:t xml:space="preserve"> jer nije do sada ugovoreno nikakvo povećanje što se tiče plaća i materijalnih prava zaposlenika.</w:t>
      </w:r>
    </w:p>
    <w:p w14:paraId="463C0F11" w14:textId="77777777" w:rsidR="00C35845" w:rsidRPr="00C35845" w:rsidRDefault="00C35845" w:rsidP="00C65AD3">
      <w:pPr>
        <w:spacing w:after="0"/>
        <w:jc w:val="both"/>
        <w:rPr>
          <w:rFonts w:ascii="Times New Roman" w:hAnsi="Times New Roman"/>
          <w:u w:val="single"/>
        </w:rPr>
      </w:pPr>
      <w:r w:rsidRPr="00C35845">
        <w:rPr>
          <w:rFonts w:ascii="Times New Roman" w:hAnsi="Times New Roman"/>
          <w:u w:val="single"/>
        </w:rPr>
        <w:t>Opis i cilj programa:</w:t>
      </w:r>
    </w:p>
    <w:p w14:paraId="091AE1B6" w14:textId="4599B59A" w:rsidR="00C35845" w:rsidRPr="00C35845" w:rsidRDefault="00C35845" w:rsidP="00C35845">
      <w:pPr>
        <w:spacing w:after="0"/>
        <w:jc w:val="both"/>
        <w:rPr>
          <w:rFonts w:ascii="Times New Roman" w:eastAsia="Times New Roman" w:hAnsi="Times New Roman"/>
          <w:lang w:eastAsia="hr-HR"/>
        </w:rPr>
      </w:pPr>
      <w:r w:rsidRPr="00C35845">
        <w:rPr>
          <w:rFonts w:ascii="Times New Roman" w:eastAsia="Times New Roman" w:hAnsi="Times New Roman"/>
          <w:lang w:eastAsia="hr-HR"/>
        </w:rPr>
        <w:t>Glazbene škole pohađaju</w:t>
      </w:r>
      <w:r w:rsidR="000E6488">
        <w:rPr>
          <w:rFonts w:ascii="Times New Roman" w:eastAsia="Times New Roman" w:hAnsi="Times New Roman"/>
          <w:lang w:eastAsia="hr-HR"/>
        </w:rPr>
        <w:t xml:space="preserve"> nadareni</w:t>
      </w:r>
      <w:r w:rsidRPr="00C35845">
        <w:rPr>
          <w:rFonts w:ascii="Times New Roman" w:eastAsia="Times New Roman" w:hAnsi="Times New Roman"/>
          <w:lang w:eastAsia="hr-HR"/>
        </w:rPr>
        <w:t xml:space="preserve"> u</w:t>
      </w:r>
      <w:r w:rsidR="000E6488">
        <w:rPr>
          <w:rFonts w:ascii="Times New Roman" w:eastAsia="Times New Roman" w:hAnsi="Times New Roman"/>
          <w:lang w:eastAsia="hr-HR"/>
        </w:rPr>
        <w:t xml:space="preserve">čenici </w:t>
      </w:r>
      <w:r w:rsidRPr="00C35845">
        <w:rPr>
          <w:rFonts w:ascii="Times New Roman" w:eastAsia="Times New Roman" w:hAnsi="Times New Roman"/>
          <w:lang w:eastAsia="hr-HR"/>
        </w:rPr>
        <w:t xml:space="preserve"> za glazbeno</w:t>
      </w:r>
      <w:r w:rsidR="000E6488">
        <w:rPr>
          <w:rFonts w:ascii="Times New Roman" w:eastAsia="Times New Roman" w:hAnsi="Times New Roman"/>
          <w:lang w:eastAsia="hr-HR"/>
        </w:rPr>
        <w:t xml:space="preserve"> i plesno</w:t>
      </w:r>
      <w:r w:rsidRPr="00C35845">
        <w:rPr>
          <w:rFonts w:ascii="Times New Roman" w:eastAsia="Times New Roman" w:hAnsi="Times New Roman"/>
          <w:lang w:eastAsia="hr-HR"/>
        </w:rPr>
        <w:t xml:space="preserve"> izražavanje. Cilj glazbenog odgojno-obrazovnog </w:t>
      </w:r>
      <w:r w:rsidR="00CF0002">
        <w:rPr>
          <w:rFonts w:ascii="Times New Roman" w:eastAsia="Times New Roman" w:hAnsi="Times New Roman"/>
          <w:lang w:eastAsia="hr-HR"/>
        </w:rPr>
        <w:t>procesa</w:t>
      </w:r>
      <w:r w:rsidRPr="00C35845">
        <w:rPr>
          <w:rFonts w:ascii="Times New Roman" w:eastAsia="Times New Roman" w:hAnsi="Times New Roman"/>
          <w:lang w:eastAsia="hr-HR"/>
        </w:rPr>
        <w:t xml:space="preserve"> je</w:t>
      </w:r>
      <w:r w:rsidR="00CF0002">
        <w:rPr>
          <w:rFonts w:ascii="Times New Roman" w:eastAsia="Times New Roman" w:hAnsi="Times New Roman"/>
          <w:lang w:eastAsia="hr-HR"/>
        </w:rPr>
        <w:t xml:space="preserve"> </w:t>
      </w:r>
      <w:r w:rsidR="000E6488">
        <w:rPr>
          <w:rFonts w:ascii="Times New Roman" w:eastAsia="Times New Roman" w:hAnsi="Times New Roman"/>
          <w:lang w:eastAsia="hr-HR"/>
        </w:rPr>
        <w:t xml:space="preserve">da pomoću </w:t>
      </w:r>
      <w:r w:rsidR="00CF0002">
        <w:rPr>
          <w:rFonts w:ascii="Times New Roman" w:eastAsia="Times New Roman" w:hAnsi="Times New Roman"/>
          <w:lang w:eastAsia="hr-HR"/>
        </w:rPr>
        <w:t xml:space="preserve">profesionalnih </w:t>
      </w:r>
      <w:r w:rsidR="000E6488">
        <w:rPr>
          <w:rFonts w:ascii="Times New Roman" w:eastAsia="Times New Roman" w:hAnsi="Times New Roman"/>
          <w:lang w:eastAsia="hr-HR"/>
        </w:rPr>
        <w:t xml:space="preserve">glazbenika </w:t>
      </w:r>
      <w:r w:rsidRPr="00C35845">
        <w:rPr>
          <w:rFonts w:ascii="Times New Roman" w:eastAsia="Times New Roman" w:hAnsi="Times New Roman"/>
          <w:lang w:eastAsia="hr-HR"/>
        </w:rPr>
        <w:t xml:space="preserve"> različitih</w:t>
      </w:r>
      <w:r w:rsidR="000E6488">
        <w:rPr>
          <w:rFonts w:ascii="Times New Roman" w:eastAsia="Times New Roman" w:hAnsi="Times New Roman"/>
          <w:lang w:eastAsia="hr-HR"/>
        </w:rPr>
        <w:t xml:space="preserve"> profila i zanimanja</w:t>
      </w:r>
      <w:r w:rsidR="00CF0002">
        <w:rPr>
          <w:rFonts w:ascii="Times New Roman" w:eastAsia="Times New Roman" w:hAnsi="Times New Roman"/>
          <w:lang w:eastAsia="hr-HR"/>
        </w:rPr>
        <w:t xml:space="preserve"> kroz pedagoški rad i prezentaciju</w:t>
      </w:r>
      <w:r w:rsidR="000E6488">
        <w:rPr>
          <w:rFonts w:ascii="Times New Roman" w:eastAsia="Times New Roman" w:hAnsi="Times New Roman"/>
          <w:lang w:eastAsia="hr-HR"/>
        </w:rPr>
        <w:t xml:space="preserve"> obogaćuju</w:t>
      </w:r>
      <w:r w:rsidRPr="00C35845">
        <w:rPr>
          <w:rFonts w:ascii="Times New Roman" w:eastAsia="Times New Roman" w:hAnsi="Times New Roman"/>
          <w:lang w:eastAsia="hr-HR"/>
        </w:rPr>
        <w:t xml:space="preserve"> društvo glazbenom umjetnošću. Zadaci glazbenih škola su: omogućiti stjecanje glazbenih vještina kao i cjelovit glazbeni razvoj, promicati glazbu putem javne djelatnosti </w:t>
      </w:r>
      <w:r w:rsidR="000E6488">
        <w:rPr>
          <w:rFonts w:ascii="Times New Roman" w:eastAsia="Times New Roman" w:hAnsi="Times New Roman"/>
          <w:lang w:eastAsia="hr-HR"/>
        </w:rPr>
        <w:t xml:space="preserve">te </w:t>
      </w:r>
      <w:r w:rsidRPr="00C35845">
        <w:rPr>
          <w:rFonts w:ascii="Times New Roman" w:eastAsia="Times New Roman" w:hAnsi="Times New Roman"/>
          <w:lang w:eastAsia="hr-HR"/>
        </w:rPr>
        <w:t xml:space="preserve">unapređivati glazbenu kulturu u sredini u kojoj </w:t>
      </w:r>
      <w:r w:rsidRPr="00C35845">
        <w:rPr>
          <w:rFonts w:ascii="Times New Roman" w:eastAsia="Times New Roman" w:hAnsi="Times New Roman"/>
          <w:lang w:eastAsia="hr-HR"/>
        </w:rPr>
        <w:lastRenderedPageBreak/>
        <w:t>škola djeluje</w:t>
      </w:r>
      <w:r w:rsidR="000E6488">
        <w:rPr>
          <w:rFonts w:ascii="Times New Roman" w:eastAsia="Times New Roman" w:hAnsi="Times New Roman"/>
          <w:lang w:eastAsia="hr-HR"/>
        </w:rPr>
        <w:t>. Da bi to  ostvarili moramo imati zaposlene stručne djelatnike koji će znanja i vještine</w:t>
      </w:r>
      <w:r w:rsidRPr="00C35845">
        <w:rPr>
          <w:rFonts w:ascii="Times New Roman" w:eastAsia="Times New Roman" w:hAnsi="Times New Roman"/>
          <w:lang w:eastAsia="hr-HR"/>
        </w:rPr>
        <w:t xml:space="preserve"> prenijeti na polaznike ove škole. </w:t>
      </w:r>
    </w:p>
    <w:p w14:paraId="6751B11F" w14:textId="77777777" w:rsidR="00C35845" w:rsidRPr="00C35845" w:rsidRDefault="0091510E" w:rsidP="00C35845">
      <w:pPr>
        <w:spacing w:after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Program  COP</w:t>
      </w:r>
      <w:r w:rsidR="00C35845" w:rsidRPr="00C35845">
        <w:rPr>
          <w:rFonts w:ascii="Times New Roman" w:hAnsi="Times New Roman"/>
        </w:rPr>
        <w:t xml:space="preserve"> (rashodi za zaposlene) financiraju se  iz Državnog Proračuna i to  za isplate plaća i naknade zaposlenima  na temelju potpisanih ugovora o radu i na temelju Kolektivnih ugovora za zaposlene u srednjim školama.</w:t>
      </w:r>
    </w:p>
    <w:p w14:paraId="4404E055" w14:textId="77777777" w:rsidR="00C35845" w:rsidRPr="00C35845" w:rsidRDefault="00C35845" w:rsidP="00C35845">
      <w:pPr>
        <w:spacing w:after="0"/>
        <w:jc w:val="both"/>
        <w:rPr>
          <w:rFonts w:ascii="Times New Roman" w:hAnsi="Times New Roman"/>
          <w:b/>
        </w:rPr>
      </w:pPr>
    </w:p>
    <w:p w14:paraId="0A1EF034" w14:textId="78CCD5CE" w:rsidR="00F25835" w:rsidRPr="00C35845" w:rsidRDefault="00F25835" w:rsidP="00F25835">
      <w:pPr>
        <w:spacing w:after="0"/>
        <w:jc w:val="both"/>
        <w:rPr>
          <w:rFonts w:ascii="Times New Roman" w:hAnsi="Times New Roman" w:cs="Times New Roman"/>
        </w:rPr>
      </w:pPr>
      <w:r w:rsidRPr="00C35845">
        <w:rPr>
          <w:rFonts w:ascii="Times New Roman" w:hAnsi="Times New Roman" w:cs="Times New Roman"/>
        </w:rPr>
        <w:t>Za navedenu aktivnost planirani su rashodi na kontu 31-rashodi za zaposlene</w:t>
      </w:r>
      <w:r w:rsidR="00344A3F">
        <w:rPr>
          <w:rFonts w:ascii="Times New Roman" w:hAnsi="Times New Roman" w:cs="Times New Roman"/>
        </w:rPr>
        <w:t xml:space="preserve">, 32-materijalni rashodi </w:t>
      </w:r>
      <w:r w:rsidRPr="00C35845">
        <w:rPr>
          <w:rFonts w:ascii="Times New Roman" w:hAnsi="Times New Roman" w:cs="Times New Roman"/>
        </w:rPr>
        <w:t>koji se financiraju iz Državnog proračuna razdjel Ministarstvo znanosti obrazovanje i sporta.</w:t>
      </w:r>
    </w:p>
    <w:p w14:paraId="55A41EDB" w14:textId="77777777" w:rsidR="00E73CEF" w:rsidRDefault="00E73CEF" w:rsidP="00F25835">
      <w:pPr>
        <w:spacing w:after="0"/>
        <w:jc w:val="both"/>
        <w:rPr>
          <w:rFonts w:ascii="Times New Roman" w:hAnsi="Times New Roman" w:cs="Times New Roman"/>
        </w:rPr>
      </w:pPr>
    </w:p>
    <w:p w14:paraId="6B915CBB" w14:textId="16F36997" w:rsidR="00784CEF" w:rsidRDefault="00784CEF" w:rsidP="00784CEF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784CEF">
        <w:rPr>
          <w:rFonts w:ascii="Times New Roman" w:hAnsi="Times New Roman" w:cs="Times New Roman"/>
          <w:b/>
          <w:sz w:val="18"/>
          <w:szCs w:val="18"/>
        </w:rPr>
        <w:t>POKAZATELJI USPJEŠNOSTI PROGRAMA  KOJI SE FINANCIRAJU: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590"/>
        <w:gridCol w:w="1104"/>
        <w:gridCol w:w="993"/>
        <w:gridCol w:w="994"/>
        <w:gridCol w:w="1135"/>
        <w:gridCol w:w="993"/>
        <w:gridCol w:w="993"/>
      </w:tblGrid>
      <w:tr w:rsidR="000B7E28" w:rsidRPr="000B7E28" w14:paraId="7E878B69" w14:textId="77777777" w:rsidTr="000B7E28"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1E41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Pokazatelj rezultata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7896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Definicija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C53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CE10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Polazna</w:t>
            </w:r>
          </w:p>
          <w:p w14:paraId="5E3FF1AF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vrijednost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B76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4C7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Ciljana vrijednost 2025.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BE89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Ciljana vrijednost 2026.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5BE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Ciljana vrijednost</w:t>
            </w:r>
          </w:p>
          <w:p w14:paraId="0D5B3186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2027.</w:t>
            </w:r>
          </w:p>
        </w:tc>
      </w:tr>
      <w:tr w:rsidR="000B7E28" w:rsidRPr="000B7E28" w14:paraId="319A5DCF" w14:textId="77777777" w:rsidTr="000B7E28">
        <w:trPr>
          <w:trHeight w:val="11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4204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 xml:space="preserve">Obilježja i uvjeti programa  nastave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6B7E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Redovita nastava</w:t>
            </w:r>
          </w:p>
          <w:p w14:paraId="155ACE63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7133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a koji polaze nastavu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513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  <w:p w14:paraId="6FFC137A" w14:textId="77777777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78C7" w14:textId="77777777" w:rsidR="000B7E28" w:rsidRPr="000B7E28" w:rsidRDefault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47A8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  <w:p w14:paraId="73E4B7F1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871966F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8A4D9C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26C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  <w:p w14:paraId="6C914915" w14:textId="77777777" w:rsidR="000B7E28" w:rsidRPr="000B7E28" w:rsidRDefault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CAD96D4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A80019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7E4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  <w:p w14:paraId="6BFF539F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D37DA1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2B5C02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B7E28" w:rsidRPr="000B7E28" w14:paraId="429E04AF" w14:textId="77777777" w:rsidTr="000B7E28">
        <w:trPr>
          <w:trHeight w:val="15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916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Povećanje broja školskih projekata/priredbi/manifestacija</w:t>
            </w:r>
          </w:p>
          <w:p w14:paraId="4590405C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Županijski/međužupanijsko</w:t>
            </w:r>
          </w:p>
          <w:p w14:paraId="4A01F3BF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Državno</w:t>
            </w:r>
          </w:p>
          <w:p w14:paraId="47F0B68F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 xml:space="preserve">Međunarodno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736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Učenike se potiče na izražavanje kreativnosti, talenata i sposobnosti kroz ovakve aktivnosti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1A0F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projekata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7554" w14:textId="77777777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  <w:p w14:paraId="79C0F771" w14:textId="2DC010FB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  <w:p w14:paraId="3B567381" w14:textId="50F3496D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E3B7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4271DBF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4BC" w14:textId="77777777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14:paraId="740037E9" w14:textId="49F13009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  <w:p w14:paraId="5C2855A2" w14:textId="44CCA402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80BE" w14:textId="6C0F6508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14:paraId="32CA2A53" w14:textId="654C79CF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  <w:p w14:paraId="2CE6D615" w14:textId="592CEDCA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CD05" w14:textId="77777777" w:rsid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  <w:p w14:paraId="4D91C8C8" w14:textId="2143C274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  <w:p w14:paraId="16B897A3" w14:textId="593C75C2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</w:tr>
      <w:tr w:rsidR="000B7E28" w:rsidRPr="000B7E28" w14:paraId="039AEECD" w14:textId="77777777" w:rsidTr="000B7E28"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777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Povećanje broja učenika koji su uključeni u različite školske projekte/priredbe/</w:t>
            </w:r>
          </w:p>
          <w:p w14:paraId="35C17ABA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manifestacije</w:t>
            </w:r>
          </w:p>
          <w:p w14:paraId="5A8E0663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županijska</w:t>
            </w:r>
          </w:p>
          <w:p w14:paraId="1597F57C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državna</w:t>
            </w:r>
          </w:p>
          <w:p w14:paraId="01B150A5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međunarodna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F12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6A80B3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Učenike se potiče na izražavanje kreativnosti, talenata i sposobnosti kroz ovakve aktivnosti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357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81552C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koji učestvuju</w:t>
            </w:r>
          </w:p>
          <w:p w14:paraId="5CAD52A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798C" w14:textId="0186E4C3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  <w:p w14:paraId="0853E2C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5309E87" w14:textId="00F7EFD0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  <w:p w14:paraId="4556CBCE" w14:textId="4C793B69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73DB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0CA601D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0DC75DC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3654" w14:textId="30A083C9" w:rsidR="000B7E28" w:rsidRPr="000B7E28" w:rsidRDefault="000B7E28" w:rsidP="000B7E28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51</w:t>
            </w:r>
          </w:p>
          <w:p w14:paraId="749BFEC4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F89A5A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  <w:p w14:paraId="737630F1" w14:textId="510020CE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C708" w14:textId="56AF5CA9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  <w:p w14:paraId="01776D1B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E9FE80C" w14:textId="77777777" w:rsidR="000B7E28" w:rsidRDefault="000B7E28" w:rsidP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  <w:p w14:paraId="0C717F96" w14:textId="076AFE06" w:rsidR="000B7E28" w:rsidRPr="000B7E28" w:rsidRDefault="000B7E28" w:rsidP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885B" w14:textId="323F20E9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  <w:p w14:paraId="2042019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EE2F097" w14:textId="77777777" w:rsidR="000B7E28" w:rsidRDefault="000B7E28" w:rsidP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  <w:p w14:paraId="530861C0" w14:textId="5EA08388" w:rsidR="000B7E28" w:rsidRPr="000B7E28" w:rsidRDefault="000B7E28" w:rsidP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</w:tr>
      <w:tr w:rsidR="000B7E28" w:rsidRPr="000B7E28" w14:paraId="74253C7A" w14:textId="77777777" w:rsidTr="000B7E28">
        <w:trPr>
          <w:trHeight w:val="1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BDDD" w14:textId="6E3D5AC4" w:rsidR="000B7E28" w:rsidRPr="000B7E28" w:rsidRDefault="000B7E28" w:rsidP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Povećanje broja osvojenih mjesta (prva tri) na županijskim/državnim natjecanjima</w:t>
            </w:r>
          </w:p>
          <w:p w14:paraId="6A6EA3D2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županijsko</w:t>
            </w:r>
          </w:p>
          <w:p w14:paraId="318F95A4" w14:textId="77777777" w:rsidR="000B7E28" w:rsidRPr="000B7E28" w:rsidRDefault="000B7E28" w:rsidP="000B7E2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državno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930F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Uz to što se učenike potiče na izražavanje sposobnosti kroz ovakve aktivnosti testira se i kvaliteta rada učitelja s nadarenim učenicima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A887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plasiranih na županijska i državna natjecanja</w:t>
            </w:r>
          </w:p>
          <w:p w14:paraId="2A18031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DF27" w14:textId="40D58682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  <w:p w14:paraId="7CF77DDB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DA43E9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B610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D541FF1" w14:textId="77777777" w:rsidR="000B7E28" w:rsidRPr="000B7E28" w:rsidRDefault="000B7E28" w:rsidP="000B7E28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6E7D" w14:textId="45521214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  <w:p w14:paraId="4A49745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F004F7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5E80" w14:textId="783ABCF8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  <w:p w14:paraId="74AE3647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A654391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0DCC" w14:textId="69CCBB61" w:rsidR="000B7E28" w:rsidRPr="000B7E28" w:rsidRDefault="000B7E28" w:rsidP="000B7E2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  <w:p w14:paraId="0FA7267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A7ACD5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0B7E28" w:rsidRPr="000B7E28" w14:paraId="4F1B9FED" w14:textId="77777777" w:rsidTr="000B7E28">
        <w:trPr>
          <w:trHeight w:val="1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1067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18117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62D81A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Javni nastupi učenika škole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1710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C6B4CC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Predstavlja javni iskaz razine umjetničko pedagoških postignuća Škole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FD3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Broj učenika koji će sudjelovati na nastupima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A0E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591EF9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AA0A794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049B60D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009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1DA3E8B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C9E39F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D222F38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284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067D05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9B1257A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BF77ACF" w14:textId="77777777" w:rsidR="000B7E28" w:rsidRPr="000B7E28" w:rsidRDefault="000B7E2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279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C0EEE9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3E4518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917874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5D8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D8C84CC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2CF328A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1D2CD5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</w:tr>
      <w:tr w:rsidR="000B7E28" w:rsidRPr="000B7E28" w14:paraId="0975945C" w14:textId="77777777" w:rsidTr="000B7E28">
        <w:trPr>
          <w:trHeight w:val="1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878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5E9779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Realizacija projekta prema planu rada po odjelima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DBBE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Napredovanje učenika, promocija škole, stručna usavršavanja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D93E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Učenici i profesori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1BD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B4A7B0B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2578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42D4994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C9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9BF2C7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7C49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464CDD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A7D5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A8B9F92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0B7E28" w:rsidRPr="000B7E28" w14:paraId="05A810CC" w14:textId="77777777" w:rsidTr="000B7E28">
        <w:trPr>
          <w:trHeight w:val="1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4B9C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6696BD" w14:textId="77777777" w:rsidR="000B7E28" w:rsidRPr="000B7E28" w:rsidRDefault="000B7E28">
            <w:pPr>
              <w:ind w:left="-3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>Strategija Razvoj Škole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75E5" w14:textId="77777777" w:rsidR="000B7E28" w:rsidRPr="000B7E28" w:rsidRDefault="000B7E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t xml:space="preserve">Sudjelovanje na manifestacijama grada i županije za promoviranje kvalitetnog </w:t>
            </w:r>
            <w:r w:rsidRPr="000B7E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glazbenog i plesnog obrazovanja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DCF6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Broj učenika i profesora koji će sudjelovati na </w:t>
            </w:r>
            <w:r w:rsidRPr="000B7E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manifestacijama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8C20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015A1C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6C29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AA1552F" w14:textId="77777777" w:rsidR="000B7E28" w:rsidRPr="000B7E28" w:rsidRDefault="000B7E28">
            <w:pPr>
              <w:ind w:left="-3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CFF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62FA25A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20F3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E20E457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42E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9470C1B" w14:textId="77777777" w:rsidR="000B7E28" w:rsidRPr="000B7E28" w:rsidRDefault="000B7E28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7E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</w:tr>
    </w:tbl>
    <w:p w14:paraId="4798E0BD" w14:textId="77777777" w:rsidR="00784CEF" w:rsidRPr="00784CEF" w:rsidRDefault="00784CEF" w:rsidP="00784CEF">
      <w:pPr>
        <w:rPr>
          <w:rFonts w:ascii="Times New Roman" w:hAnsi="Times New Roman" w:cs="Times New Roman"/>
          <w:sz w:val="18"/>
          <w:szCs w:val="18"/>
        </w:rPr>
      </w:pPr>
    </w:p>
    <w:p w14:paraId="497AE261" w14:textId="77777777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Poticat će se kvalitetna komunikacija na relacijama profesor-učenik-roditelj, učenik-učenik, učenik- profesor, zaposlenici međusobno kroz zajedničke aktivnosti i druženja kolektivnim  upoznavanjem kulturne i duhovne baštine naše domovine i šire.</w:t>
      </w:r>
    </w:p>
    <w:p w14:paraId="0A4B82A0" w14:textId="77777777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Poticat će se razvoj pozitivnih vrijednosti i natjecateljski duh.</w:t>
      </w:r>
    </w:p>
    <w:p w14:paraId="0DDEF05F" w14:textId="77777777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  <w:i/>
        </w:rPr>
      </w:pPr>
      <w:r w:rsidRPr="00784CEF">
        <w:rPr>
          <w:rFonts w:ascii="Times New Roman" w:hAnsi="Times New Roman" w:cs="Times New Roman"/>
        </w:rPr>
        <w:t>Profesori će tijekom školske godine sudjelovati na seminarima, stručnim skupovima i stručnim usavršavanjima.</w:t>
      </w:r>
    </w:p>
    <w:p w14:paraId="3CB8217D" w14:textId="7D228D8A" w:rsidR="00784CEF" w:rsidRPr="00784CEF" w:rsidRDefault="00784CEF" w:rsidP="00546F13">
      <w:pPr>
        <w:spacing w:after="0"/>
        <w:jc w:val="both"/>
        <w:rPr>
          <w:rFonts w:ascii="Times New Roman" w:hAnsi="Times New Roman" w:cs="Times New Roman"/>
        </w:rPr>
      </w:pPr>
      <w:r w:rsidRPr="00784CEF">
        <w:rPr>
          <w:rFonts w:ascii="Times New Roman" w:hAnsi="Times New Roman" w:cs="Times New Roman"/>
        </w:rPr>
        <w:t>Pokazatelji uspješnost vidljivi</w:t>
      </w:r>
      <w:r w:rsidR="00CF0002">
        <w:rPr>
          <w:rFonts w:ascii="Times New Roman" w:hAnsi="Times New Roman" w:cs="Times New Roman"/>
        </w:rPr>
        <w:t xml:space="preserve"> su i kroz </w:t>
      </w:r>
      <w:r w:rsidRPr="00784CEF">
        <w:rPr>
          <w:rFonts w:ascii="Times New Roman" w:hAnsi="Times New Roman" w:cs="Times New Roman"/>
        </w:rPr>
        <w:t>Škols</w:t>
      </w:r>
      <w:r w:rsidR="00CF0002">
        <w:rPr>
          <w:rFonts w:ascii="Times New Roman" w:hAnsi="Times New Roman" w:cs="Times New Roman"/>
        </w:rPr>
        <w:t xml:space="preserve">ki </w:t>
      </w:r>
      <w:r w:rsidRPr="00784CEF">
        <w:rPr>
          <w:rFonts w:ascii="Times New Roman" w:hAnsi="Times New Roman" w:cs="Times New Roman"/>
        </w:rPr>
        <w:t xml:space="preserve"> kurikulum koji jasno definira aktivnosti škole koje planiramo provoditi  kad i sa kojim ciljem i namjenom, načinom i vremenom realizacija te načinom vrednovanja.</w:t>
      </w:r>
    </w:p>
    <w:p w14:paraId="047E7052" w14:textId="77777777" w:rsidR="001E6545" w:rsidRDefault="001E6545" w:rsidP="001E6545">
      <w:pPr>
        <w:spacing w:after="0" w:line="240" w:lineRule="auto"/>
        <w:rPr>
          <w:rFonts w:ascii="Times New Roman" w:hAnsi="Times New Roman" w:cs="Times New Roman"/>
          <w:b/>
        </w:rPr>
      </w:pPr>
    </w:p>
    <w:p w14:paraId="0D55FCA8" w14:textId="16638F55" w:rsidR="001E6545" w:rsidRDefault="001E6545" w:rsidP="001E6545">
      <w:pPr>
        <w:spacing w:after="0" w:line="240" w:lineRule="auto"/>
        <w:rPr>
          <w:rFonts w:ascii="Times New Roman" w:hAnsi="Times New Roman" w:cs="Times New Roman"/>
          <w:b/>
        </w:rPr>
      </w:pPr>
      <w:r w:rsidRPr="00737587">
        <w:rPr>
          <w:rFonts w:ascii="Times New Roman" w:hAnsi="Times New Roman" w:cs="Times New Roman"/>
          <w:b/>
        </w:rPr>
        <w:t>Zakonski okviri  na kojima se zasnivaju programi</w:t>
      </w:r>
      <w:r>
        <w:rPr>
          <w:rFonts w:ascii="Times New Roman" w:hAnsi="Times New Roman" w:cs="Times New Roman"/>
          <w:b/>
        </w:rPr>
        <w:t>:</w:t>
      </w:r>
    </w:p>
    <w:p w14:paraId="36CA5EA5" w14:textId="77777777" w:rsidR="001E6545" w:rsidRPr="00737587" w:rsidRDefault="001E6545" w:rsidP="001E6545">
      <w:pPr>
        <w:spacing w:after="0" w:line="240" w:lineRule="auto"/>
        <w:rPr>
          <w:rFonts w:ascii="Times New Roman" w:hAnsi="Times New Roman" w:cs="Times New Roman"/>
        </w:rPr>
      </w:pPr>
    </w:p>
    <w:p w14:paraId="0C9DC0D4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ustanovama, NN, br. 76/93., 29/97., 47/99., 35/08</w:t>
      </w:r>
      <w:r>
        <w:rPr>
          <w:rFonts w:ascii="Times New Roman" w:hAnsi="Times New Roman"/>
        </w:rPr>
        <w:t>,127/19.,151/22.)</w:t>
      </w:r>
    </w:p>
    <w:p w14:paraId="1AFB332D" w14:textId="77777777" w:rsidR="001E6545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proračunu (NN, br.</w:t>
      </w:r>
      <w:r>
        <w:rPr>
          <w:rFonts w:ascii="Times New Roman" w:hAnsi="Times New Roman"/>
        </w:rPr>
        <w:t>144/21</w:t>
      </w:r>
      <w:r w:rsidRPr="00737587">
        <w:rPr>
          <w:rFonts w:ascii="Times New Roman" w:hAnsi="Times New Roman"/>
        </w:rPr>
        <w:t>), Pravilnik o proračunskim klasifikacijama (NN, br.</w:t>
      </w:r>
      <w:r>
        <w:rPr>
          <w:rFonts w:ascii="Times New Roman" w:hAnsi="Times New Roman"/>
        </w:rPr>
        <w:t>4/2024</w:t>
      </w:r>
      <w:r w:rsidRPr="00737587">
        <w:rPr>
          <w:rFonts w:ascii="Times New Roman" w:hAnsi="Times New Roman"/>
        </w:rPr>
        <w:t xml:space="preserve">.) i Pravilnik o proračunskom računovodstvu i računskom planu (NN, br. </w:t>
      </w:r>
      <w:r>
        <w:rPr>
          <w:rFonts w:ascii="Times New Roman" w:hAnsi="Times New Roman"/>
        </w:rPr>
        <w:t>158/2023.,154/24.</w:t>
      </w:r>
      <w:r w:rsidRPr="00737587">
        <w:rPr>
          <w:rFonts w:ascii="Times New Roman" w:hAnsi="Times New Roman"/>
        </w:rPr>
        <w:t xml:space="preserve">) </w:t>
      </w:r>
    </w:p>
    <w:p w14:paraId="31E6F4A1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Upute za izradu Prijedloga financijskog plana za razdoblje 2025.-2027. Grada Koprivnice  iz  rujna 2024.godine</w:t>
      </w:r>
    </w:p>
    <w:p w14:paraId="04438F92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Godišnji izvedbeni odgojno – obrazovni plan i program</w:t>
      </w:r>
      <w:r>
        <w:rPr>
          <w:rFonts w:ascii="Times New Roman" w:hAnsi="Times New Roman"/>
        </w:rPr>
        <w:t xml:space="preserve"> rada </w:t>
      </w:r>
    </w:p>
    <w:p w14:paraId="2EE787AB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Školski kurikulum Umjetničke škole Fortunat Pint</w:t>
      </w:r>
      <w:r>
        <w:rPr>
          <w:rFonts w:ascii="Times New Roman" w:hAnsi="Times New Roman"/>
        </w:rPr>
        <w:t xml:space="preserve">arić  </w:t>
      </w:r>
      <w:r w:rsidRPr="00737587">
        <w:rPr>
          <w:rFonts w:ascii="Times New Roman" w:hAnsi="Times New Roman"/>
        </w:rPr>
        <w:t>.</w:t>
      </w:r>
    </w:p>
    <w:p w14:paraId="034C645F" w14:textId="77777777" w:rsidR="001E6545" w:rsidRPr="00737587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odgoju i obrazovanju u osnovnoj i srednjoj školi (NN br. 87/08., 86/09., 92/10.,105/10., 90/11.05/12.,16/12.,86/12.,126/12., 94/13.,152/14.,07/17.,68/18.</w:t>
      </w:r>
      <w:r>
        <w:rPr>
          <w:rFonts w:ascii="Times New Roman" w:hAnsi="Times New Roman"/>
        </w:rPr>
        <w:t>,98/19.,64/20.</w:t>
      </w:r>
      <w:r w:rsidRPr="00737587">
        <w:rPr>
          <w:rFonts w:ascii="Times New Roman" w:hAnsi="Times New Roman"/>
        </w:rPr>
        <w:t>)</w:t>
      </w:r>
    </w:p>
    <w:p w14:paraId="24B33B4C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737587">
        <w:rPr>
          <w:rFonts w:ascii="Times New Roman" w:hAnsi="Times New Roman"/>
        </w:rPr>
        <w:t>Zakon o umjetničkom obrazovanju (NN 130/11.)</w:t>
      </w:r>
    </w:p>
    <w:p w14:paraId="0AF6A197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Zakon o radu (NN, br.93/14,127/17,98/19.,151/22,46/23.,64/23.)</w:t>
      </w:r>
    </w:p>
    <w:p w14:paraId="32A1D335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Pravilnik o polugodišnjem i godišnjem izvještaju o izvršenju proračuna(NN, br.85/2023.)</w:t>
      </w:r>
    </w:p>
    <w:p w14:paraId="05305852" w14:textId="77777777" w:rsidR="001E6545" w:rsidRDefault="001E6545" w:rsidP="001E654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Državni pedagoški standard osnovnog i srednjoškolskog sustava odgoja i obrazovanja</w:t>
      </w:r>
    </w:p>
    <w:p w14:paraId="5C277688" w14:textId="2F4342DE" w:rsidR="00784CEF" w:rsidRPr="00784CEF" w:rsidRDefault="00784CEF" w:rsidP="00784CEF">
      <w:pPr>
        <w:jc w:val="both"/>
        <w:rPr>
          <w:rFonts w:ascii="Times New Roman" w:eastAsia="Calibri" w:hAnsi="Times New Roman" w:cs="Times New Roman"/>
        </w:rPr>
      </w:pPr>
    </w:p>
    <w:p w14:paraId="5C56C260" w14:textId="1AE634C9" w:rsidR="00220E2A" w:rsidRPr="00A55883" w:rsidRDefault="002F367E" w:rsidP="00A9265B">
      <w:pPr>
        <w:spacing w:after="0"/>
        <w:jc w:val="both"/>
        <w:rPr>
          <w:rFonts w:ascii="Times New Roman" w:hAnsi="Times New Roman" w:cs="Times New Roman"/>
          <w:b/>
        </w:rPr>
      </w:pPr>
      <w:r w:rsidRPr="00A55883">
        <w:rPr>
          <w:rFonts w:ascii="Times New Roman" w:hAnsi="Times New Roman" w:cs="Times New Roman"/>
          <w:b/>
        </w:rPr>
        <w:t>Us</w:t>
      </w:r>
      <w:r w:rsidR="00AC00CF" w:rsidRPr="00A55883">
        <w:rPr>
          <w:rFonts w:ascii="Times New Roman" w:hAnsi="Times New Roman" w:cs="Times New Roman"/>
          <w:b/>
        </w:rPr>
        <w:t>vojeno na</w:t>
      </w:r>
      <w:r w:rsidR="005C52F7">
        <w:rPr>
          <w:rFonts w:ascii="Times New Roman" w:hAnsi="Times New Roman" w:cs="Times New Roman"/>
          <w:b/>
        </w:rPr>
        <w:t xml:space="preserve">  </w:t>
      </w:r>
      <w:r w:rsidR="00F74799">
        <w:rPr>
          <w:rFonts w:ascii="Times New Roman" w:hAnsi="Times New Roman" w:cs="Times New Roman"/>
          <w:b/>
        </w:rPr>
        <w:t>8</w:t>
      </w:r>
      <w:r w:rsidR="00A55883" w:rsidRPr="00A55883">
        <w:rPr>
          <w:rFonts w:ascii="Times New Roman" w:hAnsi="Times New Roman" w:cs="Times New Roman"/>
          <w:b/>
        </w:rPr>
        <w:t>.</w:t>
      </w:r>
      <w:r w:rsidR="0030472A" w:rsidRPr="00A55883">
        <w:rPr>
          <w:rFonts w:ascii="Times New Roman" w:hAnsi="Times New Roman" w:cs="Times New Roman"/>
          <w:b/>
        </w:rPr>
        <w:t xml:space="preserve"> sjednici ŠO.</w:t>
      </w:r>
    </w:p>
    <w:p w14:paraId="076BCBFF" w14:textId="4463CA5E" w:rsidR="008A0987" w:rsidRPr="00A55883" w:rsidRDefault="00E93CC8" w:rsidP="00A05E0B">
      <w:pPr>
        <w:spacing w:after="0"/>
        <w:jc w:val="both"/>
        <w:rPr>
          <w:rFonts w:ascii="Times New Roman" w:hAnsi="Times New Roman" w:cs="Times New Roman"/>
        </w:rPr>
      </w:pPr>
      <w:r w:rsidRPr="00A55883">
        <w:rPr>
          <w:rFonts w:ascii="Times New Roman" w:hAnsi="Times New Roman" w:cs="Times New Roman"/>
        </w:rPr>
        <w:t>U Koprivnici</w:t>
      </w:r>
      <w:r w:rsidR="00862DD2">
        <w:rPr>
          <w:rFonts w:ascii="Times New Roman" w:hAnsi="Times New Roman" w:cs="Times New Roman"/>
        </w:rPr>
        <w:t>,</w:t>
      </w:r>
      <w:r w:rsidR="00F74799">
        <w:rPr>
          <w:rFonts w:ascii="Times New Roman" w:hAnsi="Times New Roman" w:cs="Times New Roman"/>
        </w:rPr>
        <w:t xml:space="preserve"> 20.11.2025.</w:t>
      </w:r>
    </w:p>
    <w:p w14:paraId="4D7DB76C" w14:textId="77777777" w:rsidR="0051522A" w:rsidRPr="00A55883" w:rsidRDefault="008A0987" w:rsidP="008A0987">
      <w:pPr>
        <w:spacing w:after="0"/>
        <w:jc w:val="both"/>
        <w:rPr>
          <w:rFonts w:ascii="Times New Roman" w:hAnsi="Times New Roman" w:cs="Times New Roman"/>
        </w:rPr>
      </w:pPr>
      <w:r w:rsidRPr="00A55883">
        <w:rPr>
          <w:rFonts w:ascii="Times New Roman" w:hAnsi="Times New Roman" w:cs="Times New Roman"/>
        </w:rPr>
        <w:t xml:space="preserve"> </w:t>
      </w:r>
    </w:p>
    <w:p w14:paraId="6AF29681" w14:textId="77777777" w:rsidR="0051522A" w:rsidRDefault="0051522A" w:rsidP="008A0987">
      <w:pPr>
        <w:spacing w:after="0"/>
        <w:jc w:val="both"/>
        <w:rPr>
          <w:rFonts w:ascii="Times New Roman" w:hAnsi="Times New Roman" w:cs="Times New Roman"/>
        </w:rPr>
      </w:pPr>
    </w:p>
    <w:p w14:paraId="7784BEC2" w14:textId="0FFD6039" w:rsidR="008A0987" w:rsidRDefault="008B4BE7" w:rsidP="008A0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265B">
        <w:rPr>
          <w:rFonts w:ascii="Times New Roman" w:hAnsi="Times New Roman" w:cs="Times New Roman"/>
        </w:rPr>
        <w:t>Ravnatelj</w:t>
      </w:r>
      <w:r w:rsidR="00E93CC8">
        <w:rPr>
          <w:rFonts w:ascii="Times New Roman" w:hAnsi="Times New Roman" w:cs="Times New Roman"/>
        </w:rPr>
        <w:t>ic</w:t>
      </w:r>
      <w:r w:rsidR="008A0987">
        <w:rPr>
          <w:rFonts w:ascii="Times New Roman" w:hAnsi="Times New Roman" w:cs="Times New Roman"/>
        </w:rPr>
        <w:t>a:</w:t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8A0987">
        <w:rPr>
          <w:rFonts w:ascii="Times New Roman" w:hAnsi="Times New Roman" w:cs="Times New Roman"/>
        </w:rPr>
        <w:t>Predsjednica školskog odbora:</w:t>
      </w:r>
    </w:p>
    <w:p w14:paraId="3A9707E5" w14:textId="316BCF53" w:rsidR="00A9265B" w:rsidRDefault="008F7F79" w:rsidP="008A0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265B">
        <w:rPr>
          <w:rFonts w:ascii="Times New Roman" w:hAnsi="Times New Roman" w:cs="Times New Roman"/>
        </w:rPr>
        <w:t>Ariana Šandl</w:t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B4BE7">
        <w:rPr>
          <w:rFonts w:ascii="Times New Roman" w:hAnsi="Times New Roman" w:cs="Times New Roman"/>
        </w:rPr>
        <w:t xml:space="preserve"> </w:t>
      </w:r>
      <w:r w:rsidR="008A0987">
        <w:rPr>
          <w:rFonts w:ascii="Times New Roman" w:hAnsi="Times New Roman" w:cs="Times New Roman"/>
        </w:rPr>
        <w:t>Jelena Košutić</w:t>
      </w:r>
    </w:p>
    <w:p w14:paraId="4F16B9ED" w14:textId="77777777" w:rsidR="00A05E0B" w:rsidRDefault="00A05E0B" w:rsidP="008F7F79">
      <w:pPr>
        <w:spacing w:after="0"/>
        <w:ind w:left="708"/>
        <w:jc w:val="both"/>
        <w:rPr>
          <w:rFonts w:ascii="Times New Roman" w:hAnsi="Times New Roman" w:cs="Times New Roman"/>
        </w:rPr>
      </w:pPr>
    </w:p>
    <w:p w14:paraId="35E79BDB" w14:textId="77777777" w:rsidR="00A05E0B" w:rsidRDefault="00A05E0B" w:rsidP="008F7F79">
      <w:p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</w:r>
      <w:r w:rsidR="008A0987">
        <w:rPr>
          <w:rFonts w:ascii="Times New Roman" w:hAnsi="Times New Roman" w:cs="Times New Roman"/>
        </w:rPr>
        <w:tab/>
        <w:t xml:space="preserve">  </w:t>
      </w:r>
    </w:p>
    <w:p w14:paraId="1152E379" w14:textId="77777777" w:rsidR="00A05E0B" w:rsidRDefault="00A05E0B" w:rsidP="008F7F79">
      <w:pPr>
        <w:spacing w:after="0"/>
        <w:ind w:left="708"/>
        <w:jc w:val="both"/>
        <w:rPr>
          <w:rFonts w:ascii="Times New Roman" w:hAnsi="Times New Roman" w:cs="Times New Roman"/>
        </w:rPr>
      </w:pPr>
    </w:p>
    <w:p w14:paraId="3945F18C" w14:textId="75523339" w:rsidR="0004723A" w:rsidRPr="00883DDD" w:rsidRDefault="00AB3FFF" w:rsidP="00A926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04723A" w:rsidRPr="00883DDD" w:rsidSect="00A44A9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35651" w14:textId="77777777" w:rsidR="00627592" w:rsidRDefault="00627592" w:rsidP="003E3E2B">
      <w:pPr>
        <w:spacing w:after="0" w:line="240" w:lineRule="auto"/>
      </w:pPr>
      <w:r>
        <w:separator/>
      </w:r>
    </w:p>
  </w:endnote>
  <w:endnote w:type="continuationSeparator" w:id="0">
    <w:p w14:paraId="774265FE" w14:textId="77777777" w:rsidR="00627592" w:rsidRDefault="00627592" w:rsidP="003E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2199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AC6DB" w14:textId="6ADD364B" w:rsidR="003E3E2B" w:rsidRDefault="003E3E2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0C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E6BA550" w14:textId="77777777" w:rsidR="003E3E2B" w:rsidRDefault="003E3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DB809" w14:textId="77777777" w:rsidR="00627592" w:rsidRDefault="00627592" w:rsidP="003E3E2B">
      <w:pPr>
        <w:spacing w:after="0" w:line="240" w:lineRule="auto"/>
      </w:pPr>
      <w:r>
        <w:separator/>
      </w:r>
    </w:p>
  </w:footnote>
  <w:footnote w:type="continuationSeparator" w:id="0">
    <w:p w14:paraId="143AA9A5" w14:textId="77777777" w:rsidR="00627592" w:rsidRDefault="00627592" w:rsidP="003E3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clip_image001"/>
      </v:shape>
    </w:pict>
  </w:numPicBullet>
  <w:abstractNum w:abstractNumId="0" w15:restartNumberingAfterBreak="0">
    <w:nsid w:val="10F77D3B"/>
    <w:multiLevelType w:val="hybridMultilevel"/>
    <w:tmpl w:val="448882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50913"/>
    <w:multiLevelType w:val="hybridMultilevel"/>
    <w:tmpl w:val="73120598"/>
    <w:lvl w:ilvl="0" w:tplc="C80C2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3FD7"/>
    <w:multiLevelType w:val="hybridMultilevel"/>
    <w:tmpl w:val="CCAC681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5F021C"/>
    <w:multiLevelType w:val="hybridMultilevel"/>
    <w:tmpl w:val="425E876A"/>
    <w:lvl w:ilvl="0" w:tplc="04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A6324E9"/>
    <w:multiLevelType w:val="hybridMultilevel"/>
    <w:tmpl w:val="49A00A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67544"/>
    <w:multiLevelType w:val="hybridMultilevel"/>
    <w:tmpl w:val="73120598"/>
    <w:lvl w:ilvl="0" w:tplc="C80C2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176C5"/>
    <w:multiLevelType w:val="hybridMultilevel"/>
    <w:tmpl w:val="50C88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161FA"/>
    <w:multiLevelType w:val="hybridMultilevel"/>
    <w:tmpl w:val="AFE0BF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A0CBB"/>
    <w:multiLevelType w:val="hybridMultilevel"/>
    <w:tmpl w:val="CD2A4E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952F8"/>
    <w:multiLevelType w:val="hybridMultilevel"/>
    <w:tmpl w:val="909AF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4179C"/>
    <w:multiLevelType w:val="hybridMultilevel"/>
    <w:tmpl w:val="D5001B66"/>
    <w:lvl w:ilvl="0" w:tplc="B6346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726FC"/>
    <w:multiLevelType w:val="multilevel"/>
    <w:tmpl w:val="B892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8289B"/>
    <w:multiLevelType w:val="hybridMultilevel"/>
    <w:tmpl w:val="924613E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082EFA"/>
    <w:multiLevelType w:val="hybridMultilevel"/>
    <w:tmpl w:val="D5B8B1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13018">
    <w:abstractNumId w:val="12"/>
  </w:num>
  <w:num w:numId="2" w16cid:durableId="1466655745">
    <w:abstractNumId w:val="4"/>
  </w:num>
  <w:num w:numId="3" w16cid:durableId="374551883">
    <w:abstractNumId w:val="11"/>
  </w:num>
  <w:num w:numId="4" w16cid:durableId="1244953548">
    <w:abstractNumId w:val="14"/>
  </w:num>
  <w:num w:numId="5" w16cid:durableId="2010134140">
    <w:abstractNumId w:val="3"/>
  </w:num>
  <w:num w:numId="6" w16cid:durableId="1186821344">
    <w:abstractNumId w:val="0"/>
  </w:num>
  <w:num w:numId="7" w16cid:durableId="1550409602">
    <w:abstractNumId w:val="9"/>
  </w:num>
  <w:num w:numId="8" w16cid:durableId="935402231">
    <w:abstractNumId w:val="10"/>
  </w:num>
  <w:num w:numId="9" w16cid:durableId="1485320652">
    <w:abstractNumId w:val="8"/>
  </w:num>
  <w:num w:numId="10" w16cid:durableId="716707233">
    <w:abstractNumId w:val="6"/>
  </w:num>
  <w:num w:numId="11" w16cid:durableId="696538646">
    <w:abstractNumId w:val="7"/>
  </w:num>
  <w:num w:numId="12" w16cid:durableId="1651322542">
    <w:abstractNumId w:val="2"/>
  </w:num>
  <w:num w:numId="13" w16cid:durableId="140469760">
    <w:abstractNumId w:val="13"/>
  </w:num>
  <w:num w:numId="14" w16cid:durableId="716661760">
    <w:abstractNumId w:val="7"/>
  </w:num>
  <w:num w:numId="15" w16cid:durableId="74939672">
    <w:abstractNumId w:val="1"/>
  </w:num>
  <w:num w:numId="16" w16cid:durableId="300767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537"/>
    <w:rsid w:val="000062DA"/>
    <w:rsid w:val="00013B6A"/>
    <w:rsid w:val="00020F62"/>
    <w:rsid w:val="00032999"/>
    <w:rsid w:val="000338A0"/>
    <w:rsid w:val="00042444"/>
    <w:rsid w:val="0004723A"/>
    <w:rsid w:val="00052FFC"/>
    <w:rsid w:val="00053BDA"/>
    <w:rsid w:val="00064130"/>
    <w:rsid w:val="00066B66"/>
    <w:rsid w:val="000675E9"/>
    <w:rsid w:val="00080887"/>
    <w:rsid w:val="00085C79"/>
    <w:rsid w:val="00086554"/>
    <w:rsid w:val="0009116D"/>
    <w:rsid w:val="0009791E"/>
    <w:rsid w:val="00097EF3"/>
    <w:rsid w:val="000A3A7E"/>
    <w:rsid w:val="000A4299"/>
    <w:rsid w:val="000B51EC"/>
    <w:rsid w:val="000B7E28"/>
    <w:rsid w:val="000C1901"/>
    <w:rsid w:val="000C284E"/>
    <w:rsid w:val="000D0B86"/>
    <w:rsid w:val="000D1E92"/>
    <w:rsid w:val="000D4701"/>
    <w:rsid w:val="000D61C5"/>
    <w:rsid w:val="000E312E"/>
    <w:rsid w:val="000E6488"/>
    <w:rsid w:val="000F399C"/>
    <w:rsid w:val="001140BE"/>
    <w:rsid w:val="00115781"/>
    <w:rsid w:val="00116A60"/>
    <w:rsid w:val="00125280"/>
    <w:rsid w:val="00137146"/>
    <w:rsid w:val="00144C40"/>
    <w:rsid w:val="001506BC"/>
    <w:rsid w:val="00152D38"/>
    <w:rsid w:val="00153BA9"/>
    <w:rsid w:val="00157FA1"/>
    <w:rsid w:val="001629D6"/>
    <w:rsid w:val="00165E5D"/>
    <w:rsid w:val="00176D46"/>
    <w:rsid w:val="00184AF9"/>
    <w:rsid w:val="001A46A0"/>
    <w:rsid w:val="001A7E28"/>
    <w:rsid w:val="001B0868"/>
    <w:rsid w:val="001B12BD"/>
    <w:rsid w:val="001B566F"/>
    <w:rsid w:val="001B757C"/>
    <w:rsid w:val="001C0096"/>
    <w:rsid w:val="001C2B31"/>
    <w:rsid w:val="001C72D3"/>
    <w:rsid w:val="001D3289"/>
    <w:rsid w:val="001D3FCC"/>
    <w:rsid w:val="001D4244"/>
    <w:rsid w:val="001D4F08"/>
    <w:rsid w:val="001E0452"/>
    <w:rsid w:val="001E4491"/>
    <w:rsid w:val="001E477E"/>
    <w:rsid w:val="001E48BE"/>
    <w:rsid w:val="001E5F95"/>
    <w:rsid w:val="001E6545"/>
    <w:rsid w:val="001E6659"/>
    <w:rsid w:val="001E7303"/>
    <w:rsid w:val="001F01FF"/>
    <w:rsid w:val="001F64BD"/>
    <w:rsid w:val="00200083"/>
    <w:rsid w:val="00210017"/>
    <w:rsid w:val="00213D03"/>
    <w:rsid w:val="00213E24"/>
    <w:rsid w:val="00220847"/>
    <w:rsid w:val="00220E2A"/>
    <w:rsid w:val="0022487E"/>
    <w:rsid w:val="00240678"/>
    <w:rsid w:val="00246A49"/>
    <w:rsid w:val="00251940"/>
    <w:rsid w:val="002549DF"/>
    <w:rsid w:val="00267FD5"/>
    <w:rsid w:val="0027079C"/>
    <w:rsid w:val="00274C6A"/>
    <w:rsid w:val="002766D7"/>
    <w:rsid w:val="002917BA"/>
    <w:rsid w:val="00293619"/>
    <w:rsid w:val="002963C4"/>
    <w:rsid w:val="00297C51"/>
    <w:rsid w:val="002A0552"/>
    <w:rsid w:val="002B2A19"/>
    <w:rsid w:val="002B52F8"/>
    <w:rsid w:val="002B5455"/>
    <w:rsid w:val="002C2AEB"/>
    <w:rsid w:val="002D223F"/>
    <w:rsid w:val="002D284F"/>
    <w:rsid w:val="002D3872"/>
    <w:rsid w:val="002D4B3F"/>
    <w:rsid w:val="002E0899"/>
    <w:rsid w:val="002E136D"/>
    <w:rsid w:val="002F03D2"/>
    <w:rsid w:val="002F1AA8"/>
    <w:rsid w:val="002F367E"/>
    <w:rsid w:val="002F633B"/>
    <w:rsid w:val="00300097"/>
    <w:rsid w:val="00303165"/>
    <w:rsid w:val="0030472A"/>
    <w:rsid w:val="00312AF0"/>
    <w:rsid w:val="00327B29"/>
    <w:rsid w:val="00333D88"/>
    <w:rsid w:val="00344A3F"/>
    <w:rsid w:val="003451EA"/>
    <w:rsid w:val="00345B03"/>
    <w:rsid w:val="00351BFE"/>
    <w:rsid w:val="00352385"/>
    <w:rsid w:val="00352745"/>
    <w:rsid w:val="00352856"/>
    <w:rsid w:val="00352BB9"/>
    <w:rsid w:val="00355A9B"/>
    <w:rsid w:val="00356689"/>
    <w:rsid w:val="00360A29"/>
    <w:rsid w:val="003615C5"/>
    <w:rsid w:val="00361601"/>
    <w:rsid w:val="00370617"/>
    <w:rsid w:val="00373051"/>
    <w:rsid w:val="00373C9A"/>
    <w:rsid w:val="0038280E"/>
    <w:rsid w:val="003900A3"/>
    <w:rsid w:val="00390587"/>
    <w:rsid w:val="003A654A"/>
    <w:rsid w:val="003B231D"/>
    <w:rsid w:val="003C2735"/>
    <w:rsid w:val="003C4671"/>
    <w:rsid w:val="003C5F6B"/>
    <w:rsid w:val="003D2063"/>
    <w:rsid w:val="003D711C"/>
    <w:rsid w:val="003D7E4A"/>
    <w:rsid w:val="003E0218"/>
    <w:rsid w:val="003E3E2B"/>
    <w:rsid w:val="003E4C88"/>
    <w:rsid w:val="003F1BC6"/>
    <w:rsid w:val="003F656B"/>
    <w:rsid w:val="00400BD6"/>
    <w:rsid w:val="00406BD1"/>
    <w:rsid w:val="004152F1"/>
    <w:rsid w:val="0042459E"/>
    <w:rsid w:val="0043395E"/>
    <w:rsid w:val="00442455"/>
    <w:rsid w:val="00446F4D"/>
    <w:rsid w:val="004550FE"/>
    <w:rsid w:val="00457BC9"/>
    <w:rsid w:val="004725A5"/>
    <w:rsid w:val="004744FA"/>
    <w:rsid w:val="00474B83"/>
    <w:rsid w:val="00477E37"/>
    <w:rsid w:val="00482275"/>
    <w:rsid w:val="00482DBB"/>
    <w:rsid w:val="00482E20"/>
    <w:rsid w:val="00483ACD"/>
    <w:rsid w:val="0049415E"/>
    <w:rsid w:val="004A3045"/>
    <w:rsid w:val="004A7CDC"/>
    <w:rsid w:val="004B1AF4"/>
    <w:rsid w:val="004B3C3F"/>
    <w:rsid w:val="004B3DA4"/>
    <w:rsid w:val="004B5ABF"/>
    <w:rsid w:val="004C118D"/>
    <w:rsid w:val="004C1730"/>
    <w:rsid w:val="004C2B36"/>
    <w:rsid w:val="004C4B47"/>
    <w:rsid w:val="004E22FD"/>
    <w:rsid w:val="004E5CA3"/>
    <w:rsid w:val="004F1EE5"/>
    <w:rsid w:val="004F5B8A"/>
    <w:rsid w:val="005040D2"/>
    <w:rsid w:val="0050570E"/>
    <w:rsid w:val="00506F35"/>
    <w:rsid w:val="0051522A"/>
    <w:rsid w:val="005164B4"/>
    <w:rsid w:val="00517FE5"/>
    <w:rsid w:val="00530619"/>
    <w:rsid w:val="00531E12"/>
    <w:rsid w:val="005340E5"/>
    <w:rsid w:val="005365C2"/>
    <w:rsid w:val="00544C29"/>
    <w:rsid w:val="00546911"/>
    <w:rsid w:val="00546F13"/>
    <w:rsid w:val="00547EB0"/>
    <w:rsid w:val="00553BC3"/>
    <w:rsid w:val="00563281"/>
    <w:rsid w:val="00567F4E"/>
    <w:rsid w:val="0058009D"/>
    <w:rsid w:val="00581CD4"/>
    <w:rsid w:val="00587A83"/>
    <w:rsid w:val="00592213"/>
    <w:rsid w:val="00594785"/>
    <w:rsid w:val="00594BD1"/>
    <w:rsid w:val="00595E37"/>
    <w:rsid w:val="005962C0"/>
    <w:rsid w:val="005B41A0"/>
    <w:rsid w:val="005B65B2"/>
    <w:rsid w:val="005B7881"/>
    <w:rsid w:val="005B7BD7"/>
    <w:rsid w:val="005C52F7"/>
    <w:rsid w:val="005C7537"/>
    <w:rsid w:val="005D41A4"/>
    <w:rsid w:val="005D6588"/>
    <w:rsid w:val="005E336A"/>
    <w:rsid w:val="005E576D"/>
    <w:rsid w:val="005E7672"/>
    <w:rsid w:val="005F406E"/>
    <w:rsid w:val="006157D5"/>
    <w:rsid w:val="00627592"/>
    <w:rsid w:val="006334B0"/>
    <w:rsid w:val="006336A0"/>
    <w:rsid w:val="00640BB9"/>
    <w:rsid w:val="006422BC"/>
    <w:rsid w:val="00643668"/>
    <w:rsid w:val="006528F6"/>
    <w:rsid w:val="0065665E"/>
    <w:rsid w:val="006847DE"/>
    <w:rsid w:val="0068517C"/>
    <w:rsid w:val="00685D10"/>
    <w:rsid w:val="00686D25"/>
    <w:rsid w:val="00694FAF"/>
    <w:rsid w:val="006B3F9D"/>
    <w:rsid w:val="006C41F1"/>
    <w:rsid w:val="006D1F06"/>
    <w:rsid w:val="006D27B0"/>
    <w:rsid w:val="006D285B"/>
    <w:rsid w:val="006D514C"/>
    <w:rsid w:val="006E4C1C"/>
    <w:rsid w:val="006F25B3"/>
    <w:rsid w:val="006F484C"/>
    <w:rsid w:val="006F725F"/>
    <w:rsid w:val="00703273"/>
    <w:rsid w:val="00715061"/>
    <w:rsid w:val="00720E89"/>
    <w:rsid w:val="007249F6"/>
    <w:rsid w:val="00731BA4"/>
    <w:rsid w:val="00737D1D"/>
    <w:rsid w:val="00755566"/>
    <w:rsid w:val="0077298C"/>
    <w:rsid w:val="00776AE2"/>
    <w:rsid w:val="00780BD3"/>
    <w:rsid w:val="00781A9F"/>
    <w:rsid w:val="00784133"/>
    <w:rsid w:val="00784CEF"/>
    <w:rsid w:val="00786AE2"/>
    <w:rsid w:val="00787BE2"/>
    <w:rsid w:val="00793C7F"/>
    <w:rsid w:val="007957C8"/>
    <w:rsid w:val="007A3A43"/>
    <w:rsid w:val="007A4EF8"/>
    <w:rsid w:val="007A5E90"/>
    <w:rsid w:val="007B12C5"/>
    <w:rsid w:val="007B1362"/>
    <w:rsid w:val="007B15DE"/>
    <w:rsid w:val="007D57B4"/>
    <w:rsid w:val="007D5FCF"/>
    <w:rsid w:val="007D680E"/>
    <w:rsid w:val="007E32FB"/>
    <w:rsid w:val="007E3BB0"/>
    <w:rsid w:val="007E4C05"/>
    <w:rsid w:val="007F39F8"/>
    <w:rsid w:val="007F6B21"/>
    <w:rsid w:val="007F74B7"/>
    <w:rsid w:val="00801321"/>
    <w:rsid w:val="00801E30"/>
    <w:rsid w:val="0080273C"/>
    <w:rsid w:val="008057CA"/>
    <w:rsid w:val="008062C9"/>
    <w:rsid w:val="0080634F"/>
    <w:rsid w:val="00814189"/>
    <w:rsid w:val="00821032"/>
    <w:rsid w:val="008224FA"/>
    <w:rsid w:val="00842C59"/>
    <w:rsid w:val="00846B8A"/>
    <w:rsid w:val="00854202"/>
    <w:rsid w:val="00862DD2"/>
    <w:rsid w:val="0087448F"/>
    <w:rsid w:val="00874D9B"/>
    <w:rsid w:val="00883DDD"/>
    <w:rsid w:val="008851A8"/>
    <w:rsid w:val="00885F2F"/>
    <w:rsid w:val="0089135C"/>
    <w:rsid w:val="008926EC"/>
    <w:rsid w:val="00893816"/>
    <w:rsid w:val="00894936"/>
    <w:rsid w:val="008960A3"/>
    <w:rsid w:val="008A0987"/>
    <w:rsid w:val="008A375C"/>
    <w:rsid w:val="008A67BE"/>
    <w:rsid w:val="008A73ED"/>
    <w:rsid w:val="008B4BE7"/>
    <w:rsid w:val="008B6283"/>
    <w:rsid w:val="008B6E45"/>
    <w:rsid w:val="008B6F3C"/>
    <w:rsid w:val="008C0A0D"/>
    <w:rsid w:val="008C4D3D"/>
    <w:rsid w:val="008C74C8"/>
    <w:rsid w:val="008C771E"/>
    <w:rsid w:val="008D3B60"/>
    <w:rsid w:val="008D4B1C"/>
    <w:rsid w:val="008D5DD9"/>
    <w:rsid w:val="008E688B"/>
    <w:rsid w:val="008F0351"/>
    <w:rsid w:val="008F08EA"/>
    <w:rsid w:val="008F7F79"/>
    <w:rsid w:val="00900686"/>
    <w:rsid w:val="0091510E"/>
    <w:rsid w:val="00915F53"/>
    <w:rsid w:val="00917CBA"/>
    <w:rsid w:val="00917F43"/>
    <w:rsid w:val="00921A8E"/>
    <w:rsid w:val="009226BC"/>
    <w:rsid w:val="00922D0C"/>
    <w:rsid w:val="00925F18"/>
    <w:rsid w:val="00937374"/>
    <w:rsid w:val="00940035"/>
    <w:rsid w:val="00946313"/>
    <w:rsid w:val="009503E0"/>
    <w:rsid w:val="00961D87"/>
    <w:rsid w:val="00962478"/>
    <w:rsid w:val="00982352"/>
    <w:rsid w:val="009901C0"/>
    <w:rsid w:val="00996D8C"/>
    <w:rsid w:val="009A6638"/>
    <w:rsid w:val="009B339D"/>
    <w:rsid w:val="009B4F72"/>
    <w:rsid w:val="009B69F8"/>
    <w:rsid w:val="009C3352"/>
    <w:rsid w:val="009C4030"/>
    <w:rsid w:val="009C54C8"/>
    <w:rsid w:val="009C5EBB"/>
    <w:rsid w:val="009E3D2F"/>
    <w:rsid w:val="009E7890"/>
    <w:rsid w:val="009F7EF6"/>
    <w:rsid w:val="00A02555"/>
    <w:rsid w:val="00A029C3"/>
    <w:rsid w:val="00A04136"/>
    <w:rsid w:val="00A056D1"/>
    <w:rsid w:val="00A05E0B"/>
    <w:rsid w:val="00A076FB"/>
    <w:rsid w:val="00A10FF4"/>
    <w:rsid w:val="00A13D05"/>
    <w:rsid w:val="00A149DB"/>
    <w:rsid w:val="00A21BD0"/>
    <w:rsid w:val="00A261E3"/>
    <w:rsid w:val="00A2710B"/>
    <w:rsid w:val="00A27409"/>
    <w:rsid w:val="00A355F8"/>
    <w:rsid w:val="00A36F70"/>
    <w:rsid w:val="00A43A16"/>
    <w:rsid w:val="00A44A90"/>
    <w:rsid w:val="00A5572D"/>
    <w:rsid w:val="00A55883"/>
    <w:rsid w:val="00A55A61"/>
    <w:rsid w:val="00A624B1"/>
    <w:rsid w:val="00A63F8C"/>
    <w:rsid w:val="00A67DA4"/>
    <w:rsid w:val="00A7295E"/>
    <w:rsid w:val="00A75636"/>
    <w:rsid w:val="00A76EEE"/>
    <w:rsid w:val="00A82F45"/>
    <w:rsid w:val="00A85821"/>
    <w:rsid w:val="00A85825"/>
    <w:rsid w:val="00A90485"/>
    <w:rsid w:val="00A9265B"/>
    <w:rsid w:val="00A94FDD"/>
    <w:rsid w:val="00A962BD"/>
    <w:rsid w:val="00AA1377"/>
    <w:rsid w:val="00AA45FF"/>
    <w:rsid w:val="00AA485F"/>
    <w:rsid w:val="00AA6A14"/>
    <w:rsid w:val="00AB07DB"/>
    <w:rsid w:val="00AB32B9"/>
    <w:rsid w:val="00AB3E32"/>
    <w:rsid w:val="00AB3FFF"/>
    <w:rsid w:val="00AB4FE3"/>
    <w:rsid w:val="00AC00CF"/>
    <w:rsid w:val="00AF1890"/>
    <w:rsid w:val="00B013F0"/>
    <w:rsid w:val="00B03BE8"/>
    <w:rsid w:val="00B03EA6"/>
    <w:rsid w:val="00B05429"/>
    <w:rsid w:val="00B067F9"/>
    <w:rsid w:val="00B06FCF"/>
    <w:rsid w:val="00B238DC"/>
    <w:rsid w:val="00B23971"/>
    <w:rsid w:val="00B24170"/>
    <w:rsid w:val="00B40990"/>
    <w:rsid w:val="00B42A0A"/>
    <w:rsid w:val="00B64199"/>
    <w:rsid w:val="00B72C6E"/>
    <w:rsid w:val="00B73CF8"/>
    <w:rsid w:val="00B754A4"/>
    <w:rsid w:val="00B80DCB"/>
    <w:rsid w:val="00B826AB"/>
    <w:rsid w:val="00B82DE7"/>
    <w:rsid w:val="00B943D7"/>
    <w:rsid w:val="00BA1D38"/>
    <w:rsid w:val="00BB5297"/>
    <w:rsid w:val="00BB6966"/>
    <w:rsid w:val="00BC1616"/>
    <w:rsid w:val="00BC5BA4"/>
    <w:rsid w:val="00BC5F97"/>
    <w:rsid w:val="00BD044B"/>
    <w:rsid w:val="00BD4CD0"/>
    <w:rsid w:val="00BE0D33"/>
    <w:rsid w:val="00BF321C"/>
    <w:rsid w:val="00C12E4F"/>
    <w:rsid w:val="00C13647"/>
    <w:rsid w:val="00C16CD2"/>
    <w:rsid w:val="00C20660"/>
    <w:rsid w:val="00C2270E"/>
    <w:rsid w:val="00C244D6"/>
    <w:rsid w:val="00C33630"/>
    <w:rsid w:val="00C35845"/>
    <w:rsid w:val="00C35CE8"/>
    <w:rsid w:val="00C35FF3"/>
    <w:rsid w:val="00C63662"/>
    <w:rsid w:val="00C64EE6"/>
    <w:rsid w:val="00C65AD3"/>
    <w:rsid w:val="00C700B7"/>
    <w:rsid w:val="00C70BA2"/>
    <w:rsid w:val="00C720C5"/>
    <w:rsid w:val="00C720D5"/>
    <w:rsid w:val="00C74BB6"/>
    <w:rsid w:val="00C75294"/>
    <w:rsid w:val="00C86C01"/>
    <w:rsid w:val="00C908E1"/>
    <w:rsid w:val="00CA0E02"/>
    <w:rsid w:val="00CA45DE"/>
    <w:rsid w:val="00CA594D"/>
    <w:rsid w:val="00CA5D4C"/>
    <w:rsid w:val="00CB3F7E"/>
    <w:rsid w:val="00CF0002"/>
    <w:rsid w:val="00CF5FB7"/>
    <w:rsid w:val="00CF63F2"/>
    <w:rsid w:val="00D0652F"/>
    <w:rsid w:val="00D07DC6"/>
    <w:rsid w:val="00D139E1"/>
    <w:rsid w:val="00D24F87"/>
    <w:rsid w:val="00D26074"/>
    <w:rsid w:val="00D3716C"/>
    <w:rsid w:val="00D42EEA"/>
    <w:rsid w:val="00D43739"/>
    <w:rsid w:val="00D43897"/>
    <w:rsid w:val="00D465FD"/>
    <w:rsid w:val="00D46D2C"/>
    <w:rsid w:val="00D476F6"/>
    <w:rsid w:val="00D50319"/>
    <w:rsid w:val="00D50385"/>
    <w:rsid w:val="00D53659"/>
    <w:rsid w:val="00D54DD2"/>
    <w:rsid w:val="00D72FAA"/>
    <w:rsid w:val="00D83CFB"/>
    <w:rsid w:val="00D85C68"/>
    <w:rsid w:val="00DA3B0D"/>
    <w:rsid w:val="00DA49F5"/>
    <w:rsid w:val="00DB79F9"/>
    <w:rsid w:val="00DC38B2"/>
    <w:rsid w:val="00DC5C1C"/>
    <w:rsid w:val="00DD7E90"/>
    <w:rsid w:val="00DE0C55"/>
    <w:rsid w:val="00DE4C38"/>
    <w:rsid w:val="00DF16B6"/>
    <w:rsid w:val="00DF1A18"/>
    <w:rsid w:val="00DF3494"/>
    <w:rsid w:val="00DF3497"/>
    <w:rsid w:val="00E03CDF"/>
    <w:rsid w:val="00E05133"/>
    <w:rsid w:val="00E10B8F"/>
    <w:rsid w:val="00E123B0"/>
    <w:rsid w:val="00E128D6"/>
    <w:rsid w:val="00E1362E"/>
    <w:rsid w:val="00E14570"/>
    <w:rsid w:val="00E24BF8"/>
    <w:rsid w:val="00E27C1C"/>
    <w:rsid w:val="00E33A9A"/>
    <w:rsid w:val="00E3418F"/>
    <w:rsid w:val="00E46924"/>
    <w:rsid w:val="00E47738"/>
    <w:rsid w:val="00E53DD7"/>
    <w:rsid w:val="00E56364"/>
    <w:rsid w:val="00E57656"/>
    <w:rsid w:val="00E57E0B"/>
    <w:rsid w:val="00E60742"/>
    <w:rsid w:val="00E61A1D"/>
    <w:rsid w:val="00E6687D"/>
    <w:rsid w:val="00E70393"/>
    <w:rsid w:val="00E73CEF"/>
    <w:rsid w:val="00E80C20"/>
    <w:rsid w:val="00E82F18"/>
    <w:rsid w:val="00E933B0"/>
    <w:rsid w:val="00E93B3A"/>
    <w:rsid w:val="00E93CC8"/>
    <w:rsid w:val="00EA3533"/>
    <w:rsid w:val="00EA4FE8"/>
    <w:rsid w:val="00EA5D3B"/>
    <w:rsid w:val="00EB1CA3"/>
    <w:rsid w:val="00EB374D"/>
    <w:rsid w:val="00EB606B"/>
    <w:rsid w:val="00EB6303"/>
    <w:rsid w:val="00EB637A"/>
    <w:rsid w:val="00EC16E5"/>
    <w:rsid w:val="00EC1A78"/>
    <w:rsid w:val="00EC32EB"/>
    <w:rsid w:val="00ED6BE7"/>
    <w:rsid w:val="00EE0DAE"/>
    <w:rsid w:val="00EE10B7"/>
    <w:rsid w:val="00EF2604"/>
    <w:rsid w:val="00F0001D"/>
    <w:rsid w:val="00F01F16"/>
    <w:rsid w:val="00F02E1A"/>
    <w:rsid w:val="00F0691A"/>
    <w:rsid w:val="00F07228"/>
    <w:rsid w:val="00F076AC"/>
    <w:rsid w:val="00F07C64"/>
    <w:rsid w:val="00F25835"/>
    <w:rsid w:val="00F3296F"/>
    <w:rsid w:val="00F33C2B"/>
    <w:rsid w:val="00F34A07"/>
    <w:rsid w:val="00F35CCC"/>
    <w:rsid w:val="00F47389"/>
    <w:rsid w:val="00F4763B"/>
    <w:rsid w:val="00F51A52"/>
    <w:rsid w:val="00F5238D"/>
    <w:rsid w:val="00F556E1"/>
    <w:rsid w:val="00F57EA0"/>
    <w:rsid w:val="00F603A5"/>
    <w:rsid w:val="00F638A0"/>
    <w:rsid w:val="00F652DE"/>
    <w:rsid w:val="00F7043E"/>
    <w:rsid w:val="00F7388E"/>
    <w:rsid w:val="00F73E65"/>
    <w:rsid w:val="00F74799"/>
    <w:rsid w:val="00F800C9"/>
    <w:rsid w:val="00F82218"/>
    <w:rsid w:val="00F96B6A"/>
    <w:rsid w:val="00FA0899"/>
    <w:rsid w:val="00FA3795"/>
    <w:rsid w:val="00FA75C8"/>
    <w:rsid w:val="00FB0189"/>
    <w:rsid w:val="00FB071C"/>
    <w:rsid w:val="00FB10AA"/>
    <w:rsid w:val="00FC0192"/>
    <w:rsid w:val="00FE23A4"/>
    <w:rsid w:val="00FF2890"/>
    <w:rsid w:val="00F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8A58A4"/>
  <w15:docId w15:val="{E338171D-533C-4CE7-8C6C-94E66376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B3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9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265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3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E3E2B"/>
  </w:style>
  <w:style w:type="paragraph" w:styleId="Podnoje">
    <w:name w:val="footer"/>
    <w:basedOn w:val="Normal"/>
    <w:link w:val="PodnojeChar"/>
    <w:uiPriority w:val="99"/>
    <w:unhideWhenUsed/>
    <w:rsid w:val="003E3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E3E2B"/>
  </w:style>
  <w:style w:type="paragraph" w:styleId="Odlomakpopisa">
    <w:name w:val="List Paragraph"/>
    <w:basedOn w:val="Normal"/>
    <w:uiPriority w:val="34"/>
    <w:qFormat/>
    <w:rsid w:val="00893816"/>
    <w:pPr>
      <w:ind w:left="720"/>
      <w:contextualSpacing/>
    </w:pPr>
    <w:rPr>
      <w:rFonts w:ascii="Calibri" w:eastAsia="Calibri" w:hAnsi="Calibri" w:cs="Times New Roman"/>
    </w:rPr>
  </w:style>
  <w:style w:type="paragraph" w:styleId="Bezproreda">
    <w:name w:val="No Spacing"/>
    <w:uiPriority w:val="1"/>
    <w:qFormat/>
    <w:rsid w:val="001B1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4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5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9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48963-BFF2-4D68-85FF-32F5620E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3341</Words>
  <Characters>19047</Characters>
  <Application>Microsoft Office Word</Application>
  <DocSecurity>0</DocSecurity>
  <Lines>158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Racunovodstvo</dc:creator>
  <cp:lastModifiedBy>Silvija Škutin</cp:lastModifiedBy>
  <cp:revision>2</cp:revision>
  <cp:lastPrinted>2023-11-17T08:02:00Z</cp:lastPrinted>
  <dcterms:created xsi:type="dcterms:W3CDTF">2025-12-08T11:57:00Z</dcterms:created>
  <dcterms:modified xsi:type="dcterms:W3CDTF">2025-12-08T11:57:00Z</dcterms:modified>
</cp:coreProperties>
</file>